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616F2" w14:textId="54F8369A" w:rsidR="0029533F" w:rsidRPr="00432F22" w:rsidRDefault="009F0E38" w:rsidP="0063142A">
      <w:pPr>
        <w:pStyle w:val="Pagedecouverture"/>
      </w:pPr>
      <w:r>
        <w:rPr>
          <w:noProof/>
        </w:rPr>
        <w:drawing>
          <wp:inline distT="0" distB="0" distL="0" distR="0" wp14:anchorId="4422FE2B" wp14:editId="7AD192C3">
            <wp:extent cx="5781675" cy="5781675"/>
            <wp:effectExtent l="0" t="0" r="0" b="0"/>
            <wp:docPr id="1" name="Afbeelding 1" descr="81149510-E17F-4DF3-AC11-1566263A8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149510-E17F-4DF3-AC11-1566263A87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1675" cy="5781675"/>
                    </a:xfrm>
                    <a:prstGeom prst="rect">
                      <a:avLst/>
                    </a:prstGeom>
                    <a:noFill/>
                    <a:ln>
                      <a:noFill/>
                    </a:ln>
                  </pic:spPr>
                </pic:pic>
              </a:graphicData>
            </a:graphic>
          </wp:inline>
        </w:drawing>
      </w:r>
    </w:p>
    <w:p w14:paraId="739B390C" w14:textId="77777777" w:rsidR="00EE1FB3" w:rsidRPr="00432F22" w:rsidRDefault="00EE1FB3">
      <w:pPr>
        <w:sectPr w:rsidR="00EE1FB3" w:rsidRPr="00432F22" w:rsidSect="002C0542">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24E87A38" w14:textId="3A488D6E" w:rsidR="00EE1FB3" w:rsidRPr="00432F22" w:rsidRDefault="0063142A" w:rsidP="0063142A">
      <w:pPr>
        <w:pStyle w:val="Typedudocument"/>
      </w:pPr>
      <w:r w:rsidRPr="0063142A">
        <w:lastRenderedPageBreak/>
        <w:t>COMMISSION REGULATION (EU) …/…</w:t>
      </w:r>
    </w:p>
    <w:p w14:paraId="05A58FBD" w14:textId="730C32CA" w:rsidR="00EE1FB3" w:rsidRPr="00432F22" w:rsidRDefault="0063142A" w:rsidP="0063142A">
      <w:pPr>
        <w:pStyle w:val="Datedadoption"/>
      </w:pPr>
      <w:r w:rsidRPr="0063142A">
        <w:t xml:space="preserve">of </w:t>
      </w:r>
      <w:r w:rsidRPr="0063142A">
        <w:rPr>
          <w:rStyle w:val="Marker2"/>
        </w:rPr>
        <w:t>XXX</w:t>
      </w:r>
    </w:p>
    <w:p w14:paraId="3B87ED86" w14:textId="35421D9D" w:rsidR="00EE1FB3" w:rsidRPr="00432F22" w:rsidRDefault="0063142A" w:rsidP="0063142A">
      <w:pPr>
        <w:pStyle w:val="Titreobjet"/>
      </w:pPr>
      <w:r w:rsidRPr="0063142A">
        <w:t>on the use of bisphenol A (BPA) and other bisphenols and bisphenol derivatives with harmonised classification for specific hazardous properties in certain materials and articles intended to come into contact with food, amending Regulation (EU) No 10/2011 and repealing Regulation (EU) 2018/213</w:t>
      </w:r>
    </w:p>
    <w:p w14:paraId="7FDB6038" w14:textId="21A3804A" w:rsidR="00853A66" w:rsidRDefault="0063142A" w:rsidP="0063142A">
      <w:pPr>
        <w:pStyle w:val="IntrtEEE"/>
      </w:pPr>
      <w:r w:rsidRPr="0063142A">
        <w:t>(Text with EEA relevance)</w:t>
      </w:r>
    </w:p>
    <w:p w14:paraId="68AFF96E" w14:textId="1EECDCB2" w:rsidR="00EE1FB3" w:rsidRPr="00432F22" w:rsidRDefault="00EE1FB3">
      <w:pPr>
        <w:pStyle w:val="Institutionquiagit"/>
      </w:pPr>
      <w:r w:rsidRPr="00432F22">
        <w:t>THE EUROPEAN COMMISSION,</w:t>
      </w:r>
    </w:p>
    <w:p w14:paraId="4200E34D" w14:textId="77777777" w:rsidR="00EE1FB3" w:rsidRPr="00432F22" w:rsidRDefault="00EE1FB3">
      <w:r w:rsidRPr="00432F22">
        <w:t>Having regard to the Treaty on the Functioning of the European Union,</w:t>
      </w:r>
    </w:p>
    <w:p w14:paraId="371CE1DB" w14:textId="3CED4F9C" w:rsidR="00EE1FB3" w:rsidRPr="00432F22" w:rsidRDefault="00EE1FB3">
      <w:r w:rsidRPr="00432F22">
        <w:t>Having regard to Regulation</w:t>
      </w:r>
      <w:r w:rsidR="007151A8" w:rsidRPr="00432F22">
        <w:t xml:space="preserve"> (EC) No 1935/2004 of the European Parliament and of the Council of 27 October 2004 on materials and articles intended to come into contact with food and repealing Directives 80/590/EEC and 89/109/EEC</w:t>
      </w:r>
      <w:r w:rsidR="007151A8" w:rsidRPr="00432F22">
        <w:rPr>
          <w:rStyle w:val="Voetnootmarkering"/>
        </w:rPr>
        <w:footnoteReference w:id="2"/>
      </w:r>
      <w:r w:rsidR="007151A8" w:rsidRPr="00432F22">
        <w:t xml:space="preserve">, and in particular </w:t>
      </w:r>
      <w:r w:rsidR="004641B6" w:rsidRPr="00432F22">
        <w:t xml:space="preserve">Article 5(1), </w:t>
      </w:r>
      <w:r w:rsidR="007151A8" w:rsidRPr="00432F22">
        <w:t xml:space="preserve">points </w:t>
      </w:r>
      <w:r w:rsidR="00552621" w:rsidRPr="00432F22">
        <w:t xml:space="preserve">(a), </w:t>
      </w:r>
      <w:r w:rsidR="007151A8" w:rsidRPr="00432F22">
        <w:t>(d), (e), (h), (i)</w:t>
      </w:r>
      <w:r w:rsidR="002930B2">
        <w:t>,</w:t>
      </w:r>
      <w:r w:rsidR="007151A8" w:rsidRPr="00432F22">
        <w:t xml:space="preserve"> (j)</w:t>
      </w:r>
      <w:r w:rsidR="002930B2">
        <w:t xml:space="preserve"> </w:t>
      </w:r>
      <w:r w:rsidR="002930B2" w:rsidRPr="00532349">
        <w:t>and (n)</w:t>
      </w:r>
      <w:r w:rsidR="007151A8" w:rsidRPr="00432F22">
        <w:t xml:space="preserve"> thereof</w:t>
      </w:r>
      <w:r w:rsidRPr="00432F22">
        <w:t>,</w:t>
      </w:r>
    </w:p>
    <w:p w14:paraId="6A116313" w14:textId="77777777" w:rsidR="00EE1FB3" w:rsidRPr="00432F22" w:rsidRDefault="00EE1FB3">
      <w:r w:rsidRPr="00432F22">
        <w:t>Whereas:</w:t>
      </w:r>
    </w:p>
    <w:p w14:paraId="3812CBE9" w14:textId="48D84508" w:rsidR="00EE1FB3" w:rsidRPr="00432F22" w:rsidRDefault="007151A8" w:rsidP="00431373">
      <w:pPr>
        <w:pStyle w:val="Considrant"/>
        <w:numPr>
          <w:ilvl w:val="0"/>
          <w:numId w:val="8"/>
        </w:numPr>
        <w:rPr>
          <w:color w:val="000000" w:themeColor="text1"/>
        </w:rPr>
      </w:pPr>
      <w:r w:rsidRPr="00432F22">
        <w:t xml:space="preserve">The substance </w:t>
      </w:r>
      <w:r w:rsidR="00FD08CD" w:rsidRPr="00432F22">
        <w:t>4,4'-isopropylidenediphenol</w:t>
      </w:r>
      <w:r w:rsidRPr="00432F22">
        <w:t xml:space="preserve"> (CAS</w:t>
      </w:r>
      <w:r w:rsidR="00930A58" w:rsidRPr="00432F22">
        <w:t xml:space="preserve"> number</w:t>
      </w:r>
      <w:r w:rsidRPr="00432F22">
        <w:t xml:space="preserve"> 80-05-7)</w:t>
      </w:r>
      <w:r w:rsidR="00C632F4" w:rsidRPr="00432F22">
        <w:t xml:space="preserve"> (FCM 151)</w:t>
      </w:r>
      <w:r w:rsidRPr="00432F22">
        <w:t>, commonly known as bisphenol A (</w:t>
      </w:r>
      <w:r w:rsidR="009F1778">
        <w:t>‘</w:t>
      </w:r>
      <w:r w:rsidRPr="00432F22">
        <w:t>BPA</w:t>
      </w:r>
      <w:r w:rsidR="009F1778">
        <w:t>’</w:t>
      </w:r>
      <w:r w:rsidRPr="00432F22">
        <w:t>)</w:t>
      </w:r>
      <w:r w:rsidR="00B72ABD" w:rsidRPr="00432F22">
        <w:t>,</w:t>
      </w:r>
      <w:r w:rsidRPr="00432F22">
        <w:t xml:space="preserve"> is used in the manufacture of certain </w:t>
      </w:r>
      <w:r w:rsidR="00930A58" w:rsidRPr="00432F22">
        <w:t xml:space="preserve">food contact </w:t>
      </w:r>
      <w:r w:rsidRPr="00432F22">
        <w:t>materials and articles</w:t>
      </w:r>
      <w:r w:rsidR="0004466D" w:rsidRPr="00432F22">
        <w:t>.</w:t>
      </w:r>
      <w:r w:rsidRPr="00432F22">
        <w:t xml:space="preserve"> </w:t>
      </w:r>
      <w:r w:rsidR="0004466D" w:rsidRPr="00432F22">
        <w:t>Primarily it is used</w:t>
      </w:r>
      <w:r w:rsidR="002D1936">
        <w:t xml:space="preserve"> as a monomer or starting substance</w:t>
      </w:r>
      <w:r w:rsidR="0004466D" w:rsidRPr="00432F22">
        <w:t xml:space="preserve"> in the manufacture of </w:t>
      </w:r>
      <w:r w:rsidRPr="00432F22">
        <w:t xml:space="preserve">epoxy resins </w:t>
      </w:r>
      <w:r w:rsidR="0004466D" w:rsidRPr="00432F22">
        <w:t>that form the basis of</w:t>
      </w:r>
      <w:r w:rsidRPr="00432F22">
        <w:t xml:space="preserve"> varnishes and coatings</w:t>
      </w:r>
      <w:r w:rsidR="009F1778">
        <w:t>,</w:t>
      </w:r>
      <w:r w:rsidR="00092253" w:rsidRPr="00432F22">
        <w:t xml:space="preserve"> </w:t>
      </w:r>
      <w:r w:rsidR="00930A58" w:rsidRPr="00432F22">
        <w:t xml:space="preserve">including those applied to </w:t>
      </w:r>
      <w:r w:rsidR="007E50F3" w:rsidRPr="00432F22">
        <w:t xml:space="preserve">the </w:t>
      </w:r>
      <w:r w:rsidR="00417CD9" w:rsidRPr="00432F22">
        <w:t>internal</w:t>
      </w:r>
      <w:r w:rsidR="007E50F3" w:rsidRPr="00432F22">
        <w:t xml:space="preserve"> and </w:t>
      </w:r>
      <w:r w:rsidR="00417CD9" w:rsidRPr="00432F22">
        <w:t>external</w:t>
      </w:r>
      <w:r w:rsidR="007E50F3" w:rsidRPr="00432F22">
        <w:t xml:space="preserve"> </w:t>
      </w:r>
      <w:r w:rsidR="00CD4B57">
        <w:t xml:space="preserve">surfaces </w:t>
      </w:r>
      <w:r w:rsidR="007E50F3" w:rsidRPr="00432F22">
        <w:t xml:space="preserve">of </w:t>
      </w:r>
      <w:r w:rsidR="00930A58" w:rsidRPr="00432F22">
        <w:t>metal food packaging</w:t>
      </w:r>
      <w:r w:rsidR="00BD707A">
        <w:t>,</w:t>
      </w:r>
      <w:r w:rsidR="008B6A1E">
        <w:t xml:space="preserve"> such as cans, tins and jar lids</w:t>
      </w:r>
      <w:r w:rsidR="00930A58" w:rsidRPr="00432F22">
        <w:t xml:space="preserve">, </w:t>
      </w:r>
      <w:r w:rsidR="00092253" w:rsidRPr="00432F22">
        <w:t xml:space="preserve">as well as </w:t>
      </w:r>
      <w:r w:rsidR="009B65D0">
        <w:t xml:space="preserve">large tanks and vessels used in food production. It is also used </w:t>
      </w:r>
      <w:r w:rsidR="00752BC2">
        <w:t xml:space="preserve">in the manufacture of </w:t>
      </w:r>
      <w:r w:rsidR="00871346" w:rsidRPr="00432F22">
        <w:t>certain</w:t>
      </w:r>
      <w:r w:rsidR="00092253" w:rsidRPr="00432F22">
        <w:t xml:space="preserve"> </w:t>
      </w:r>
      <w:r w:rsidR="004641B6" w:rsidRPr="00432F22">
        <w:t xml:space="preserve">types of </w:t>
      </w:r>
      <w:r w:rsidR="00092253" w:rsidRPr="00432F22">
        <w:t>plastic</w:t>
      </w:r>
      <w:r w:rsidR="00EC11A0">
        <w:t xml:space="preserve"> food contact materials and articles</w:t>
      </w:r>
      <w:r w:rsidR="003C17C7">
        <w:t>,</w:t>
      </w:r>
      <w:r w:rsidR="00871346" w:rsidRPr="00432F22">
        <w:t xml:space="preserve"> including </w:t>
      </w:r>
      <w:r w:rsidR="00EC11A0">
        <w:t xml:space="preserve">those made from </w:t>
      </w:r>
      <w:r w:rsidR="00871346" w:rsidRPr="00432F22">
        <w:t>polycarbonate</w:t>
      </w:r>
      <w:r w:rsidR="005F3537" w:rsidRPr="00432F22">
        <w:t xml:space="preserve"> and polysulfone</w:t>
      </w:r>
      <w:r w:rsidRPr="00432F22">
        <w:t xml:space="preserve">. </w:t>
      </w:r>
      <w:r w:rsidR="00413B96" w:rsidRPr="00432F22">
        <w:t>Due to</w:t>
      </w:r>
      <w:r w:rsidR="00092253" w:rsidRPr="00432F22">
        <w:t xml:space="preserve"> its </w:t>
      </w:r>
      <w:r w:rsidR="00413B96" w:rsidRPr="00432F22">
        <w:t>diverse</w:t>
      </w:r>
      <w:r w:rsidR="00092253" w:rsidRPr="00432F22">
        <w:t xml:space="preserve"> chemical properties, BPA may also be used in </w:t>
      </w:r>
      <w:r w:rsidR="00C66980" w:rsidRPr="00432F22">
        <w:t>printing inks</w:t>
      </w:r>
      <w:r w:rsidR="001F6260">
        <w:t>,</w:t>
      </w:r>
      <w:r w:rsidR="00C66980" w:rsidRPr="00432F22">
        <w:t xml:space="preserve"> </w:t>
      </w:r>
      <w:r w:rsidR="00092253" w:rsidRPr="00432F22">
        <w:t>adhesives</w:t>
      </w:r>
      <w:r w:rsidR="00D63CBA">
        <w:t xml:space="preserve"> </w:t>
      </w:r>
      <w:r w:rsidR="001F6260">
        <w:t xml:space="preserve">and other materials </w:t>
      </w:r>
      <w:r w:rsidR="00E67FE0" w:rsidRPr="00432F22">
        <w:t xml:space="preserve">that form part of </w:t>
      </w:r>
      <w:r w:rsidR="00A9321D" w:rsidRPr="00432F22">
        <w:t xml:space="preserve">finished </w:t>
      </w:r>
      <w:r w:rsidR="00E67FE0" w:rsidRPr="00432F22">
        <w:t>food contact articles</w:t>
      </w:r>
      <w:r w:rsidR="00784BBD" w:rsidRPr="00432F22">
        <w:t xml:space="preserve">. </w:t>
      </w:r>
      <w:r w:rsidRPr="00432F22">
        <w:t xml:space="preserve">BPA can migrate into food from the material or article with which </w:t>
      </w:r>
      <w:r w:rsidR="003C17C7">
        <w:t>such food</w:t>
      </w:r>
      <w:r w:rsidR="003C17C7" w:rsidRPr="00432F22">
        <w:t xml:space="preserve"> </w:t>
      </w:r>
      <w:r w:rsidRPr="00432F22">
        <w:t>is in contact, resulting in exposure to BPA for consumers of those foods.</w:t>
      </w:r>
    </w:p>
    <w:p w14:paraId="442574B9" w14:textId="295B7120" w:rsidR="00EE1FB3" w:rsidRPr="00432F22" w:rsidRDefault="008A61AC" w:rsidP="00453781">
      <w:pPr>
        <w:pStyle w:val="Considrant"/>
      </w:pPr>
      <w:r w:rsidRPr="00432F22">
        <w:t xml:space="preserve">The use of BPA as a monomer in the </w:t>
      </w:r>
      <w:r w:rsidR="0030062F" w:rsidRPr="00432F22">
        <w:t>manufacture</w:t>
      </w:r>
      <w:r w:rsidRPr="00432F22">
        <w:t xml:space="preserve"> of plastic </w:t>
      </w:r>
      <w:r w:rsidR="00C15751" w:rsidRPr="00432F22">
        <w:t xml:space="preserve">food contact </w:t>
      </w:r>
      <w:r w:rsidRPr="00432F22">
        <w:t>materials and articles is authorised by Commission Regulation (EU) No 10/2011</w:t>
      </w:r>
      <w:r w:rsidRPr="00432F22">
        <w:rPr>
          <w:rStyle w:val="Voetnootmarkering"/>
        </w:rPr>
        <w:footnoteReference w:id="3"/>
      </w:r>
      <w:r w:rsidR="00EE1FB3" w:rsidRPr="00432F22">
        <w:t>.</w:t>
      </w:r>
      <w:r w:rsidRPr="00432F22">
        <w:t xml:space="preserve"> </w:t>
      </w:r>
      <w:r w:rsidR="007F05ED" w:rsidRPr="00432F22">
        <w:t>Th</w:t>
      </w:r>
      <w:r w:rsidR="008B6A1E">
        <w:t>is</w:t>
      </w:r>
      <w:r w:rsidR="007F05ED" w:rsidRPr="00432F22">
        <w:t xml:space="preserve"> </w:t>
      </w:r>
      <w:r w:rsidR="0083591F" w:rsidRPr="00432F22">
        <w:t>use</w:t>
      </w:r>
      <w:r w:rsidR="005F31D0">
        <w:t>,</w:t>
      </w:r>
      <w:r w:rsidR="0083591F" w:rsidRPr="00432F22">
        <w:t xml:space="preserve"> </w:t>
      </w:r>
      <w:r w:rsidR="007F05ED" w:rsidRPr="00432F22">
        <w:t>as well as</w:t>
      </w:r>
      <w:r w:rsidR="00476DA3" w:rsidRPr="00432F22">
        <w:t xml:space="preserve"> </w:t>
      </w:r>
      <w:r w:rsidR="0004466D" w:rsidRPr="00432F22">
        <w:t xml:space="preserve">its presence in </w:t>
      </w:r>
      <w:r w:rsidR="00C15751" w:rsidRPr="00432F22">
        <w:t xml:space="preserve">food contact </w:t>
      </w:r>
      <w:r w:rsidR="00476DA3" w:rsidRPr="00432F22">
        <w:t>varnishes and coatings</w:t>
      </w:r>
      <w:r w:rsidR="005F31D0">
        <w:t>,</w:t>
      </w:r>
      <w:r w:rsidR="00476DA3" w:rsidRPr="00432F22">
        <w:t xml:space="preserve"> </w:t>
      </w:r>
      <w:r w:rsidR="007F05ED" w:rsidRPr="00432F22">
        <w:t xml:space="preserve">is subject </w:t>
      </w:r>
      <w:r w:rsidRPr="00432F22">
        <w:t>to a specific migration limit (SML) of 0,05 mg of BPA per kg of food (mg/kg)</w:t>
      </w:r>
      <w:r w:rsidR="00453781" w:rsidRPr="00432F22">
        <w:t>,</w:t>
      </w:r>
      <w:r w:rsidRPr="00432F22">
        <w:t xml:space="preserve"> </w:t>
      </w:r>
      <w:r w:rsidR="00453781" w:rsidRPr="00432F22">
        <w:t>set</w:t>
      </w:r>
      <w:r w:rsidR="007F05ED" w:rsidRPr="00432F22">
        <w:t xml:space="preserve"> in Commission Regulation (EU) 2018/213</w:t>
      </w:r>
      <w:r w:rsidR="007F05ED" w:rsidRPr="00432F22">
        <w:rPr>
          <w:rStyle w:val="Voetnootmarkering"/>
        </w:rPr>
        <w:footnoteReference w:id="4"/>
      </w:r>
      <w:r w:rsidR="007F05ED" w:rsidRPr="00432F22">
        <w:t xml:space="preserve"> </w:t>
      </w:r>
      <w:r w:rsidR="0004466D" w:rsidRPr="00432F22">
        <w:t>on the basis of</w:t>
      </w:r>
      <w:r w:rsidRPr="00432F22">
        <w:t xml:space="preserve"> an opinion </w:t>
      </w:r>
      <w:r w:rsidR="00FC2003" w:rsidRPr="00432F22">
        <w:t xml:space="preserve">of </w:t>
      </w:r>
      <w:r w:rsidRPr="00432F22">
        <w:t>the European Food Safety Authority (</w:t>
      </w:r>
      <w:r w:rsidR="00A419E6" w:rsidRPr="00432F22">
        <w:t>‘</w:t>
      </w:r>
      <w:r w:rsidRPr="00432F22">
        <w:t>the Authority</w:t>
      </w:r>
      <w:r w:rsidR="00A419E6" w:rsidRPr="00432F22">
        <w:t>’</w:t>
      </w:r>
      <w:r w:rsidRPr="00432F22">
        <w:t>) published in 2015</w:t>
      </w:r>
      <w:r w:rsidR="00913F20" w:rsidRPr="00432F22">
        <w:rPr>
          <w:rStyle w:val="Voetnootmarkering"/>
        </w:rPr>
        <w:footnoteReference w:id="5"/>
      </w:r>
      <w:r w:rsidRPr="00432F22">
        <w:t>.</w:t>
      </w:r>
      <w:r w:rsidR="00476DA3" w:rsidRPr="00432F22">
        <w:t xml:space="preserve"> </w:t>
      </w:r>
      <w:r w:rsidR="0038243D" w:rsidRPr="00432F22">
        <w:t xml:space="preserve">The latter </w:t>
      </w:r>
      <w:r w:rsidR="007F05ED" w:rsidRPr="00432F22">
        <w:t xml:space="preserve">Regulation </w:t>
      </w:r>
      <w:r w:rsidR="00476DA3" w:rsidRPr="00432F22">
        <w:t>also</w:t>
      </w:r>
      <w:r w:rsidRPr="00432F22">
        <w:t xml:space="preserve"> </w:t>
      </w:r>
      <w:r w:rsidR="00BD707A">
        <w:t xml:space="preserve">introduced a </w:t>
      </w:r>
      <w:r w:rsidR="00476DA3" w:rsidRPr="00432F22">
        <w:t>prohibit</w:t>
      </w:r>
      <w:r w:rsidR="00BD707A">
        <w:t>ion on</w:t>
      </w:r>
      <w:r w:rsidR="00476DA3" w:rsidRPr="00432F22">
        <w:t xml:space="preserve"> </w:t>
      </w:r>
      <w:r w:rsidR="003A52F2" w:rsidRPr="00432F22">
        <w:t xml:space="preserve">the </w:t>
      </w:r>
      <w:r w:rsidR="007F05ED" w:rsidRPr="00432F22">
        <w:t xml:space="preserve">use </w:t>
      </w:r>
      <w:r w:rsidR="003A52F2" w:rsidRPr="00432F22">
        <w:t xml:space="preserve">of BPA </w:t>
      </w:r>
      <w:r w:rsidR="007F05ED" w:rsidRPr="00432F22">
        <w:t xml:space="preserve">in </w:t>
      </w:r>
      <w:r w:rsidR="00453781" w:rsidRPr="00432F22">
        <w:t xml:space="preserve">polycarbonate </w:t>
      </w:r>
      <w:r w:rsidR="007F05ED" w:rsidRPr="00432F22">
        <w:t xml:space="preserve">drinking cups </w:t>
      </w:r>
      <w:r w:rsidR="002D1936">
        <w:t>and</w:t>
      </w:r>
      <w:r w:rsidR="00833214" w:rsidRPr="00432F22">
        <w:t xml:space="preserve"> bottles </w:t>
      </w:r>
      <w:r w:rsidR="007F05ED" w:rsidRPr="00432F22">
        <w:t xml:space="preserve">for infants </w:t>
      </w:r>
      <w:r w:rsidR="007F05ED" w:rsidRPr="00432F22">
        <w:lastRenderedPageBreak/>
        <w:t xml:space="preserve">and young children and </w:t>
      </w:r>
      <w:r w:rsidR="00FD10D9" w:rsidRPr="00432F22">
        <w:t xml:space="preserve">migration from varnishes </w:t>
      </w:r>
      <w:r w:rsidR="00633F09">
        <w:t>or</w:t>
      </w:r>
      <w:r w:rsidR="00633F09" w:rsidRPr="00432F22">
        <w:t xml:space="preserve"> </w:t>
      </w:r>
      <w:r w:rsidR="00FD10D9" w:rsidRPr="00432F22">
        <w:t>coatings</w:t>
      </w:r>
      <w:r w:rsidR="003A52F2" w:rsidRPr="00432F22">
        <w:t xml:space="preserve"> applied to </w:t>
      </w:r>
      <w:r w:rsidR="00475679">
        <w:t xml:space="preserve">food contact </w:t>
      </w:r>
      <w:r w:rsidR="003A52F2" w:rsidRPr="00432F22">
        <w:t xml:space="preserve">materials and articles specifically intended to come into contact with infant formula, follow-on formula, processed cereal-based food, baby food, food for special medical purposes developed to satisfy the nutritional requirements of infants and young children or milk-based drinks and similar products </w:t>
      </w:r>
      <w:r w:rsidR="00FD10D9" w:rsidRPr="00432F22">
        <w:t>specifically intended for infants and young children</w:t>
      </w:r>
      <w:r w:rsidR="0004466D" w:rsidRPr="00432F22">
        <w:t xml:space="preserve">. This </w:t>
      </w:r>
      <w:r w:rsidR="00752BC2">
        <w:t xml:space="preserve">prohibition </w:t>
      </w:r>
      <w:r w:rsidR="0004466D" w:rsidRPr="00432F22">
        <w:t>was introduced</w:t>
      </w:r>
      <w:r w:rsidR="007F05ED" w:rsidRPr="00432F22">
        <w:t xml:space="preserve"> in addition to the prohibition </w:t>
      </w:r>
      <w:r w:rsidR="003C17C7" w:rsidRPr="00432F22">
        <w:t>o</w:t>
      </w:r>
      <w:r w:rsidR="003C17C7">
        <w:t>f</w:t>
      </w:r>
      <w:r w:rsidR="003C17C7" w:rsidRPr="00432F22">
        <w:t xml:space="preserve"> </w:t>
      </w:r>
      <w:r w:rsidR="007F05ED" w:rsidRPr="00432F22">
        <w:t xml:space="preserve">its use in the manufacture of polycarbonate infant feeding bottles and cups for young children </w:t>
      </w:r>
      <w:r w:rsidR="00605C0C" w:rsidRPr="00432F22">
        <w:t xml:space="preserve">laid down </w:t>
      </w:r>
      <w:r w:rsidR="007F05ED" w:rsidRPr="00432F22">
        <w:t xml:space="preserve">in </w:t>
      </w:r>
      <w:r w:rsidR="00453781" w:rsidRPr="00432F22">
        <w:t>Commission Implementing Regulation (EU) No 321/2011</w:t>
      </w:r>
      <w:r w:rsidR="00453781" w:rsidRPr="00432F22">
        <w:rPr>
          <w:rStyle w:val="Voetnootmarkering"/>
        </w:rPr>
        <w:footnoteReference w:id="6"/>
      </w:r>
      <w:r w:rsidR="00FD10D9" w:rsidRPr="00432F22">
        <w:t>.</w:t>
      </w:r>
    </w:p>
    <w:p w14:paraId="6BFBB732" w14:textId="733EF1D6" w:rsidR="00FD233E" w:rsidRPr="00432F22" w:rsidRDefault="004015D3" w:rsidP="00EE1FB3">
      <w:pPr>
        <w:pStyle w:val="Considrant"/>
      </w:pPr>
      <w:r w:rsidRPr="00432F22">
        <w:t>Following a mandate by the Commission in 2016 to undertake a re-evaluation of BPA</w:t>
      </w:r>
      <w:r w:rsidR="002D1936">
        <w:t>,</w:t>
      </w:r>
      <w:r w:rsidR="0004466D" w:rsidRPr="00432F22">
        <w:t xml:space="preserve"> </w:t>
      </w:r>
      <w:r w:rsidRPr="00432F22">
        <w:t xml:space="preserve">to </w:t>
      </w:r>
      <w:r w:rsidR="00F2189C">
        <w:t xml:space="preserve">take </w:t>
      </w:r>
      <w:r w:rsidRPr="00432F22">
        <w:t xml:space="preserve">account </w:t>
      </w:r>
      <w:r w:rsidR="00F2189C">
        <w:t>of</w:t>
      </w:r>
      <w:r w:rsidR="00F2189C" w:rsidRPr="00432F22">
        <w:t xml:space="preserve"> </w:t>
      </w:r>
      <w:r w:rsidRPr="00432F22">
        <w:t>the results of new studies and scientific data to address remaining uncertainties, including the output from a two-year chronic study from the United States’ National Toxicology Program</w:t>
      </w:r>
      <w:r w:rsidR="003A686A" w:rsidRPr="00432F22">
        <w:t>, t</w:t>
      </w:r>
      <w:r w:rsidR="00FD233E" w:rsidRPr="00432F22">
        <w:t xml:space="preserve">he Authority published </w:t>
      </w:r>
      <w:r w:rsidR="00B95D1C" w:rsidRPr="00432F22">
        <w:t>an</w:t>
      </w:r>
      <w:r w:rsidR="00FD233E" w:rsidRPr="00432F22">
        <w:t xml:space="preserve"> updated opinion </w:t>
      </w:r>
      <w:r w:rsidR="003A686A" w:rsidRPr="00432F22">
        <w:t xml:space="preserve">on BPA </w:t>
      </w:r>
      <w:r w:rsidR="00FD233E" w:rsidRPr="00432F22">
        <w:t>in 2023</w:t>
      </w:r>
      <w:r w:rsidR="009D255F" w:rsidRPr="00432F22">
        <w:rPr>
          <w:rStyle w:val="Voetnootmarkering"/>
        </w:rPr>
        <w:footnoteReference w:id="7"/>
      </w:r>
      <w:r w:rsidR="009D255F" w:rsidRPr="00432F22">
        <w:t>.</w:t>
      </w:r>
      <w:r w:rsidR="0024599D" w:rsidRPr="00432F22">
        <w:t xml:space="preserve"> In this opinion, the Authority </w:t>
      </w:r>
      <w:r w:rsidR="00EF198B" w:rsidRPr="00432F22">
        <w:t>conclude</w:t>
      </w:r>
      <w:r w:rsidR="00C66980" w:rsidRPr="00432F22">
        <w:t>d</w:t>
      </w:r>
      <w:r w:rsidR="0024599D" w:rsidRPr="00432F22">
        <w:t xml:space="preserve"> that BPA exerts a number of adverse effects</w:t>
      </w:r>
      <w:r w:rsidR="00F2189C">
        <w:t>,</w:t>
      </w:r>
      <w:r w:rsidR="0024599D" w:rsidRPr="00432F22">
        <w:t xml:space="preserve"> including </w:t>
      </w:r>
      <w:r w:rsidR="005F31D0">
        <w:t>on</w:t>
      </w:r>
      <w:r w:rsidR="0024599D" w:rsidRPr="00432F22">
        <w:t xml:space="preserve"> the immune system</w:t>
      </w:r>
      <w:r w:rsidR="005F31D0">
        <w:t>, which it considered</w:t>
      </w:r>
      <w:r w:rsidR="0024599D" w:rsidRPr="00432F22">
        <w:t xml:space="preserve"> the most sensitive </w:t>
      </w:r>
      <w:r w:rsidR="009B1B3D" w:rsidRPr="00432F22">
        <w:t>to effects from BPA</w:t>
      </w:r>
      <w:r w:rsidR="005F31D0">
        <w:t>.</w:t>
      </w:r>
      <w:r w:rsidR="009B1B3D" w:rsidRPr="00432F22">
        <w:t xml:space="preserve"> </w:t>
      </w:r>
      <w:r w:rsidR="005F31D0">
        <w:t>O</w:t>
      </w:r>
      <w:r w:rsidR="00817360" w:rsidRPr="00432F22">
        <w:t>n that bas</w:t>
      </w:r>
      <w:r w:rsidR="00453781" w:rsidRPr="00432F22">
        <w:t>is</w:t>
      </w:r>
      <w:r w:rsidR="00817360" w:rsidRPr="00432F22">
        <w:t>,</w:t>
      </w:r>
      <w:r w:rsidR="0024599D" w:rsidRPr="00432F22">
        <w:t xml:space="preserve"> </w:t>
      </w:r>
      <w:r w:rsidR="005F31D0">
        <w:t xml:space="preserve">the Authority </w:t>
      </w:r>
      <w:r w:rsidR="0024599D" w:rsidRPr="00432F22">
        <w:t>establish</w:t>
      </w:r>
      <w:r w:rsidR="00817360" w:rsidRPr="00432F22">
        <w:t>ed</w:t>
      </w:r>
      <w:r w:rsidR="0024599D" w:rsidRPr="00432F22">
        <w:t xml:space="preserve"> a </w:t>
      </w:r>
      <w:r w:rsidR="000B760C">
        <w:t>tolerable daily intake (</w:t>
      </w:r>
      <w:r w:rsidR="0024599D" w:rsidRPr="00432F22">
        <w:t>TDI</w:t>
      </w:r>
      <w:r w:rsidR="000B760C">
        <w:t>)</w:t>
      </w:r>
      <w:r w:rsidR="0024599D" w:rsidRPr="00432F22">
        <w:t xml:space="preserve"> of 0.2 n</w:t>
      </w:r>
      <w:r w:rsidR="006C2F19" w:rsidRPr="00432F22">
        <w:t>ano</w:t>
      </w:r>
      <w:r w:rsidR="0024599D" w:rsidRPr="00432F22">
        <w:t>g</w:t>
      </w:r>
      <w:r w:rsidR="006C2F19" w:rsidRPr="00432F22">
        <w:t>rams per kilogram (ng</w:t>
      </w:r>
      <w:r w:rsidR="0024599D" w:rsidRPr="00432F22">
        <w:t>/kg</w:t>
      </w:r>
      <w:r w:rsidR="006C2F19" w:rsidRPr="00432F22">
        <w:t>)</w:t>
      </w:r>
      <w:r w:rsidR="0024599D" w:rsidRPr="00432F22">
        <w:t xml:space="preserve"> bodyweight, which is 20</w:t>
      </w:r>
      <w:r w:rsidR="00E565F2" w:rsidRPr="00432F22">
        <w:t xml:space="preserve"> </w:t>
      </w:r>
      <w:r w:rsidR="0024599D" w:rsidRPr="00432F22">
        <w:t xml:space="preserve">000 times lower than the temporary TDI </w:t>
      </w:r>
      <w:r w:rsidR="006C2F19" w:rsidRPr="00432F22">
        <w:t xml:space="preserve">of </w:t>
      </w:r>
      <w:r w:rsidR="0024599D" w:rsidRPr="00432F22">
        <w:t xml:space="preserve">4 </w:t>
      </w:r>
      <w:r w:rsidR="00F34743">
        <w:t>micro</w:t>
      </w:r>
      <w:r w:rsidR="00F34743" w:rsidRPr="00432F22">
        <w:t xml:space="preserve">grams per kilogram </w:t>
      </w:r>
      <w:r w:rsidR="00F34743">
        <w:t>(</w:t>
      </w:r>
      <w:r w:rsidR="0024599D" w:rsidRPr="00432F22">
        <w:t>μg/kg</w:t>
      </w:r>
      <w:r w:rsidR="00F34743">
        <w:t>)</w:t>
      </w:r>
      <w:r w:rsidR="006C2F19" w:rsidRPr="00432F22">
        <w:t xml:space="preserve"> (or 4</w:t>
      </w:r>
      <w:r w:rsidR="00817360" w:rsidRPr="00432F22">
        <w:t> </w:t>
      </w:r>
      <w:r w:rsidR="006C2F19" w:rsidRPr="00432F22">
        <w:t xml:space="preserve">000 ng/kg) bodyweight </w:t>
      </w:r>
      <w:r w:rsidR="0024599D" w:rsidRPr="00432F22">
        <w:t xml:space="preserve">it established in </w:t>
      </w:r>
      <w:r w:rsidR="0004466D" w:rsidRPr="00432F22">
        <w:t xml:space="preserve">its </w:t>
      </w:r>
      <w:r w:rsidR="0024599D" w:rsidRPr="00432F22">
        <w:t>2015</w:t>
      </w:r>
      <w:r w:rsidR="0004466D" w:rsidRPr="00432F22">
        <w:t xml:space="preserve"> opinion</w:t>
      </w:r>
      <w:r w:rsidR="0024599D" w:rsidRPr="00432F22">
        <w:t xml:space="preserve">. The Authority noted that a dose range </w:t>
      </w:r>
      <w:r w:rsidR="00E023D3" w:rsidRPr="00432F22">
        <w:t xml:space="preserve">similar to that </w:t>
      </w:r>
      <w:r w:rsidR="00281D04" w:rsidRPr="00432F22">
        <w:t xml:space="preserve">which led to effects on the immune system also </w:t>
      </w:r>
      <w:r w:rsidR="0024599D" w:rsidRPr="00432F22">
        <w:t xml:space="preserve">caused adverse </w:t>
      </w:r>
      <w:r w:rsidR="00C632F4" w:rsidRPr="00432F22">
        <w:t xml:space="preserve">metabolic effects as well as </w:t>
      </w:r>
      <w:r w:rsidR="00C15751" w:rsidRPr="00432F22">
        <w:t xml:space="preserve">adverse </w:t>
      </w:r>
      <w:r w:rsidR="0024599D" w:rsidRPr="00432F22">
        <w:t xml:space="preserve">effects </w:t>
      </w:r>
      <w:r w:rsidR="00C632F4" w:rsidRPr="00432F22">
        <w:t>on the</w:t>
      </w:r>
      <w:r w:rsidR="0024599D" w:rsidRPr="00432F22">
        <w:t xml:space="preserve"> reproductive and developmental </w:t>
      </w:r>
      <w:r w:rsidR="00C632F4" w:rsidRPr="00432F22">
        <w:t>systems</w:t>
      </w:r>
      <w:r w:rsidR="0024599D" w:rsidRPr="00432F22">
        <w:t xml:space="preserve">. Comparison of the TDI </w:t>
      </w:r>
      <w:r w:rsidR="0004466D" w:rsidRPr="00432F22">
        <w:t xml:space="preserve">of 0.2 ng/kg bodyweight </w:t>
      </w:r>
      <w:r w:rsidR="0024599D" w:rsidRPr="00432F22">
        <w:t xml:space="preserve">with the dietary exposure estimates from the Authority’s 2015 opinion </w:t>
      </w:r>
      <w:r w:rsidR="00633F09">
        <w:t>indicates</w:t>
      </w:r>
      <w:r w:rsidR="00633F09" w:rsidRPr="00432F22">
        <w:t xml:space="preserve"> </w:t>
      </w:r>
      <w:r w:rsidR="0024599D" w:rsidRPr="00432F22">
        <w:t xml:space="preserve">that </w:t>
      </w:r>
      <w:r w:rsidR="00593746">
        <w:t xml:space="preserve">the exposure for </w:t>
      </w:r>
      <w:r w:rsidR="0024599D" w:rsidRPr="00432F22">
        <w:t>all age groups exceed</w:t>
      </w:r>
      <w:r w:rsidR="00593746">
        <w:t>s</w:t>
      </w:r>
      <w:r w:rsidR="0024599D" w:rsidRPr="00432F22">
        <w:t xml:space="preserve"> the TDI by two to three orders of magnitude. The Authority therefore conclude</w:t>
      </w:r>
      <w:r w:rsidR="006E6C73" w:rsidRPr="00432F22">
        <w:t>d</w:t>
      </w:r>
      <w:r w:rsidR="0024599D" w:rsidRPr="00432F22">
        <w:t xml:space="preserve"> that there is a health concern from dietary BPA exposure</w:t>
      </w:r>
      <w:r w:rsidR="00E81A36" w:rsidRPr="00432F22">
        <w:t xml:space="preserve"> for all population groups</w:t>
      </w:r>
      <w:r w:rsidR="0024599D" w:rsidRPr="00432F22">
        <w:t>.</w:t>
      </w:r>
    </w:p>
    <w:p w14:paraId="32AFD8C6" w14:textId="5629C7C7" w:rsidR="006C35BF" w:rsidRPr="00432F22" w:rsidRDefault="00E04F07" w:rsidP="006C35BF">
      <w:pPr>
        <w:pStyle w:val="Considrant"/>
      </w:pPr>
      <w:r w:rsidRPr="00432F22">
        <w:t xml:space="preserve">Based on the </w:t>
      </w:r>
      <w:r w:rsidR="00593746">
        <w:t xml:space="preserve">scientific </w:t>
      </w:r>
      <w:r w:rsidRPr="00432F22">
        <w:t xml:space="preserve">opinion of </w:t>
      </w:r>
      <w:r w:rsidR="007D55A4" w:rsidRPr="00432F22">
        <w:t>th</w:t>
      </w:r>
      <w:r w:rsidR="00C632F4" w:rsidRPr="00432F22">
        <w:t>e</w:t>
      </w:r>
      <w:r w:rsidR="007D55A4" w:rsidRPr="00432F22">
        <w:t xml:space="preserve"> </w:t>
      </w:r>
      <w:r w:rsidRPr="00432F22">
        <w:t xml:space="preserve">Authority of </w:t>
      </w:r>
      <w:r w:rsidR="007D55A4" w:rsidRPr="00432F22">
        <w:t>2023</w:t>
      </w:r>
      <w:r w:rsidR="00B51C28" w:rsidRPr="00432F22">
        <w:t>, the authorisation of BPA</w:t>
      </w:r>
      <w:r w:rsidR="00BA5AC5" w:rsidRPr="00432F22">
        <w:t xml:space="preserve"> for use</w:t>
      </w:r>
      <w:r w:rsidR="00B51C28" w:rsidRPr="00432F22">
        <w:t xml:space="preserve"> in </w:t>
      </w:r>
      <w:r w:rsidRPr="00432F22">
        <w:t xml:space="preserve">the manufacture of </w:t>
      </w:r>
      <w:r w:rsidR="00B51C28" w:rsidRPr="00432F22">
        <w:t xml:space="preserve">plastic </w:t>
      </w:r>
      <w:r w:rsidR="00C15751" w:rsidRPr="00432F22">
        <w:t xml:space="preserve">food contact </w:t>
      </w:r>
      <w:r w:rsidR="00B51C28" w:rsidRPr="00432F22">
        <w:t>materials and articles</w:t>
      </w:r>
      <w:r w:rsidR="00F2189C">
        <w:t>,</w:t>
      </w:r>
      <w:r w:rsidR="00B95D1C" w:rsidRPr="00432F22">
        <w:t xml:space="preserve"> as well as its use in other </w:t>
      </w:r>
      <w:r w:rsidR="00C15751" w:rsidRPr="00432F22">
        <w:t xml:space="preserve">food contact </w:t>
      </w:r>
      <w:r w:rsidR="00B95D1C" w:rsidRPr="00432F22">
        <w:t>materials and articles</w:t>
      </w:r>
      <w:r w:rsidR="00F2189C">
        <w:t>,</w:t>
      </w:r>
      <w:r w:rsidR="00B95D1C" w:rsidRPr="00432F22">
        <w:t xml:space="preserve"> should be updated.</w:t>
      </w:r>
      <w:r w:rsidR="00710139" w:rsidRPr="00432F22">
        <w:t xml:space="preserve"> </w:t>
      </w:r>
      <w:r w:rsidR="005D38D2" w:rsidRPr="00432F22">
        <w:t>I</w:t>
      </w:r>
      <w:r w:rsidR="009E619C" w:rsidRPr="00432F22">
        <w:t xml:space="preserve">n light of the TDI established by the Authority in </w:t>
      </w:r>
      <w:r w:rsidR="00907D2C">
        <w:t xml:space="preserve">its </w:t>
      </w:r>
      <w:r w:rsidR="009E619C" w:rsidRPr="00432F22">
        <w:t>2023</w:t>
      </w:r>
      <w:r w:rsidR="00907D2C">
        <w:t xml:space="preserve"> opinion</w:t>
      </w:r>
      <w:r w:rsidR="009E619C" w:rsidRPr="00432F22">
        <w:t xml:space="preserve">, even </w:t>
      </w:r>
      <w:r w:rsidR="00347FAC" w:rsidRPr="00432F22">
        <w:t xml:space="preserve">very </w:t>
      </w:r>
      <w:r w:rsidR="009E619C" w:rsidRPr="00432F22">
        <w:t xml:space="preserve">small amounts of BPA that migrate </w:t>
      </w:r>
      <w:r w:rsidR="00FD08CD" w:rsidRPr="00432F22">
        <w:t>from food contact materials and articles</w:t>
      </w:r>
      <w:r w:rsidR="005F31D0">
        <w:t>,</w:t>
      </w:r>
      <w:r w:rsidR="00FD08CD" w:rsidRPr="00432F22">
        <w:t xml:space="preserve"> </w:t>
      </w:r>
      <w:r w:rsidR="009E619C" w:rsidRPr="00432F22">
        <w:t>several-fold below the current SML</w:t>
      </w:r>
      <w:r w:rsidR="005F31D0">
        <w:t>,</w:t>
      </w:r>
      <w:r w:rsidR="009E619C" w:rsidRPr="00432F22">
        <w:t xml:space="preserve"> </w:t>
      </w:r>
      <w:r w:rsidR="00572094" w:rsidRPr="00432F22">
        <w:t>could</w:t>
      </w:r>
      <w:r w:rsidR="009E619C" w:rsidRPr="00432F22">
        <w:t xml:space="preserve"> lead to exposure above </w:t>
      </w:r>
      <w:r w:rsidR="00593746">
        <w:t>the newly established</w:t>
      </w:r>
      <w:r w:rsidR="00593746" w:rsidRPr="00432F22">
        <w:t xml:space="preserve"> </w:t>
      </w:r>
      <w:r w:rsidR="00E81A36" w:rsidRPr="00432F22">
        <w:t>TDI</w:t>
      </w:r>
      <w:r w:rsidR="00347FAC" w:rsidRPr="00432F22">
        <w:t>.</w:t>
      </w:r>
      <w:r w:rsidR="009E619C" w:rsidRPr="00432F22">
        <w:t xml:space="preserve"> </w:t>
      </w:r>
      <w:r w:rsidR="003A03A1" w:rsidRPr="00432F22">
        <w:t xml:space="preserve">Furthermore, </w:t>
      </w:r>
      <w:r w:rsidR="00E023D3" w:rsidRPr="00432F22">
        <w:t xml:space="preserve">whilst </w:t>
      </w:r>
      <w:r w:rsidR="00572094" w:rsidRPr="00432F22">
        <w:t xml:space="preserve">validated </w:t>
      </w:r>
      <w:r w:rsidR="005C21FA" w:rsidRPr="00432F22">
        <w:t>analytical method</w:t>
      </w:r>
      <w:r w:rsidR="00347FAC" w:rsidRPr="00432F22">
        <w:t>s</w:t>
      </w:r>
      <w:r w:rsidR="005C21FA" w:rsidRPr="00432F22">
        <w:t xml:space="preserve"> </w:t>
      </w:r>
      <w:r w:rsidR="00E023D3" w:rsidRPr="00432F22">
        <w:t xml:space="preserve">may be needed to verify compliance or to support official controls, no such methods exist </w:t>
      </w:r>
      <w:r w:rsidR="005C21FA" w:rsidRPr="00432F22">
        <w:t xml:space="preserve">that </w:t>
      </w:r>
      <w:r w:rsidR="00347FAC" w:rsidRPr="00432F22">
        <w:t>are</w:t>
      </w:r>
      <w:r w:rsidR="005C21FA" w:rsidRPr="00432F22">
        <w:t xml:space="preserve"> able to </w:t>
      </w:r>
      <w:r w:rsidR="00533555" w:rsidRPr="00432F22">
        <w:t>quantify the migration of BPA reliably and consistently</w:t>
      </w:r>
      <w:r w:rsidR="005C21FA" w:rsidRPr="00432F22">
        <w:t xml:space="preserve"> at </w:t>
      </w:r>
      <w:r w:rsidR="00765F53">
        <w:t>the</w:t>
      </w:r>
      <w:r w:rsidR="00765F53" w:rsidRPr="00432F22">
        <w:t xml:space="preserve"> </w:t>
      </w:r>
      <w:r w:rsidR="005C21FA" w:rsidRPr="00432F22">
        <w:t>level</w:t>
      </w:r>
      <w:r w:rsidR="00765F53">
        <w:t xml:space="preserve"> of</w:t>
      </w:r>
      <w:r w:rsidR="00593746">
        <w:t xml:space="preserve"> an SML</w:t>
      </w:r>
      <w:r w:rsidR="0014204A">
        <w:t xml:space="preserve"> </w:t>
      </w:r>
      <w:r w:rsidR="00765F53">
        <w:t xml:space="preserve">that would be </w:t>
      </w:r>
      <w:r w:rsidR="00593746">
        <w:t>derived from the new TDI</w:t>
      </w:r>
      <w:r w:rsidR="005C21FA" w:rsidRPr="00432F22">
        <w:t>.</w:t>
      </w:r>
      <w:r w:rsidR="00DD6EAE" w:rsidRPr="00432F22">
        <w:t xml:space="preserve"> </w:t>
      </w:r>
      <w:r w:rsidR="00604FF4" w:rsidRPr="00432F22">
        <w:t>T</w:t>
      </w:r>
      <w:r w:rsidR="00C15751" w:rsidRPr="00432F22">
        <w:t>herefore</w:t>
      </w:r>
      <w:r w:rsidR="00604FF4" w:rsidRPr="00432F22">
        <w:t>,</w:t>
      </w:r>
      <w:r w:rsidR="00C15751" w:rsidRPr="00432F22">
        <w:t xml:space="preserve"> </w:t>
      </w:r>
      <w:r w:rsidR="00604FF4" w:rsidRPr="00432F22">
        <w:t xml:space="preserve">in order to minimise </w:t>
      </w:r>
      <w:r w:rsidR="0014204A">
        <w:t xml:space="preserve">BPA’s </w:t>
      </w:r>
      <w:r w:rsidR="00604FF4" w:rsidRPr="00432F22">
        <w:t xml:space="preserve">presence and migration into food and subsequent consumers’ dietary exposure as far as possible, </w:t>
      </w:r>
      <w:r w:rsidR="00C15751" w:rsidRPr="00432F22">
        <w:t>its use</w:t>
      </w:r>
      <w:r w:rsidR="00CE3FA7">
        <w:t>,</w:t>
      </w:r>
      <w:r w:rsidR="00C15751" w:rsidRPr="00432F22">
        <w:t xml:space="preserve"> </w:t>
      </w:r>
      <w:r w:rsidR="00CE3FA7">
        <w:t xml:space="preserve">including </w:t>
      </w:r>
      <w:r w:rsidR="002D1936">
        <w:t xml:space="preserve">that of its </w:t>
      </w:r>
      <w:r w:rsidR="00CE3FA7">
        <w:t xml:space="preserve">salts, </w:t>
      </w:r>
      <w:r w:rsidR="00C15751" w:rsidRPr="00432F22">
        <w:t>in the manufacture of</w:t>
      </w:r>
      <w:r w:rsidR="00604FF4" w:rsidRPr="00432F22">
        <w:t xml:space="preserve"> those</w:t>
      </w:r>
      <w:r w:rsidR="00C15751" w:rsidRPr="00432F22">
        <w:t xml:space="preserve"> food contact materials and articles</w:t>
      </w:r>
      <w:r w:rsidR="00604FF4" w:rsidRPr="00432F22">
        <w:t xml:space="preserve"> </w:t>
      </w:r>
      <w:r w:rsidR="00593746">
        <w:t>of</w:t>
      </w:r>
      <w:r w:rsidR="00593746" w:rsidRPr="00432F22">
        <w:t xml:space="preserve"> </w:t>
      </w:r>
      <w:r w:rsidR="00604FF4" w:rsidRPr="00432F22">
        <w:t xml:space="preserve">which it may be </w:t>
      </w:r>
      <w:r w:rsidR="00593746">
        <w:t>a component</w:t>
      </w:r>
      <w:r w:rsidR="00C15751" w:rsidRPr="00432F22">
        <w:t xml:space="preserve">, including </w:t>
      </w:r>
      <w:r w:rsidR="00D63CBA">
        <w:t>adhesives, rubbers, ion-exchange resins, plastics, printing inks, silicones and varnishes and coatings,</w:t>
      </w:r>
      <w:r w:rsidR="00C15751" w:rsidRPr="00432F22">
        <w:t xml:space="preserve"> </w:t>
      </w:r>
      <w:r w:rsidR="00E023D3" w:rsidRPr="00432F22">
        <w:t>should be prohibited</w:t>
      </w:r>
      <w:r w:rsidR="00604FF4" w:rsidRPr="00432F22">
        <w:t>.</w:t>
      </w:r>
      <w:r w:rsidR="00C15751" w:rsidRPr="00432F22">
        <w:t xml:space="preserve"> </w:t>
      </w:r>
    </w:p>
    <w:p w14:paraId="1F1BF514" w14:textId="77777777" w:rsidR="00147E80" w:rsidRDefault="00EF0AAB" w:rsidP="00F249F1">
      <w:pPr>
        <w:pStyle w:val="Considrant"/>
      </w:pPr>
      <w:r>
        <w:t>Exceptionally</w:t>
      </w:r>
      <w:r w:rsidR="00F2189C">
        <w:t>,</w:t>
      </w:r>
      <w:r w:rsidR="00D00BDB" w:rsidRPr="00432F22">
        <w:t xml:space="preserve"> it is necessary to consider the criticality </w:t>
      </w:r>
      <w:r w:rsidR="00FC11D2">
        <w:t xml:space="preserve">of </w:t>
      </w:r>
      <w:r w:rsidR="004A3FFF">
        <w:t xml:space="preserve">BPA in the manufacture of </w:t>
      </w:r>
      <w:r w:rsidR="00EC11A0">
        <w:t xml:space="preserve">certain </w:t>
      </w:r>
      <w:r w:rsidR="00FC11D2" w:rsidRPr="00432F22">
        <w:t xml:space="preserve">food contact </w:t>
      </w:r>
      <w:r w:rsidR="00166EF0">
        <w:t xml:space="preserve">materials and </w:t>
      </w:r>
      <w:r w:rsidR="00FC11D2">
        <w:t xml:space="preserve">articles </w:t>
      </w:r>
      <w:r w:rsidR="00EC11A0">
        <w:t>for specific</w:t>
      </w:r>
      <w:r w:rsidR="00EC11A0" w:rsidRPr="00432F22">
        <w:t xml:space="preserve"> </w:t>
      </w:r>
      <w:r w:rsidR="00FC11D2" w:rsidRPr="00432F22">
        <w:t>applications</w:t>
      </w:r>
      <w:r w:rsidR="00FC11D2">
        <w:t xml:space="preserve"> </w:t>
      </w:r>
      <w:r w:rsidR="00D00BDB" w:rsidRPr="00432F22">
        <w:t>in food production</w:t>
      </w:r>
      <w:r w:rsidR="00EE3E6B">
        <w:t xml:space="preserve"> and the extent to which there are currently </w:t>
      </w:r>
      <w:r w:rsidR="0043615D">
        <w:t xml:space="preserve">suitable </w:t>
      </w:r>
      <w:r w:rsidR="00EE3E6B">
        <w:t>alternatives</w:t>
      </w:r>
      <w:r w:rsidR="00D00BDB" w:rsidRPr="00432F22">
        <w:t xml:space="preserve">, whilst taking into account </w:t>
      </w:r>
      <w:r>
        <w:t>any</w:t>
      </w:r>
      <w:r w:rsidRPr="00432F22">
        <w:t xml:space="preserve"> </w:t>
      </w:r>
      <w:r w:rsidR="00D00BDB" w:rsidRPr="00432F22">
        <w:t xml:space="preserve">potential </w:t>
      </w:r>
      <w:r w:rsidR="00612182">
        <w:t xml:space="preserve">exposure from such applications and whether there is any </w:t>
      </w:r>
      <w:r w:rsidR="00593746">
        <w:t xml:space="preserve">consequent health </w:t>
      </w:r>
      <w:r w:rsidR="00D00BDB" w:rsidRPr="00432F22">
        <w:t xml:space="preserve">risk. </w:t>
      </w:r>
    </w:p>
    <w:p w14:paraId="0E95CF3E" w14:textId="3BA12DB6" w:rsidR="006C6055" w:rsidRDefault="00765F53" w:rsidP="00F249F1">
      <w:pPr>
        <w:pStyle w:val="Considrant"/>
      </w:pPr>
      <w:r>
        <w:lastRenderedPageBreak/>
        <w:t>First</w:t>
      </w:r>
      <w:r w:rsidR="00B07876">
        <w:t>ly</w:t>
      </w:r>
      <w:r>
        <w:t xml:space="preserve">, </w:t>
      </w:r>
      <w:r w:rsidR="00A53057" w:rsidRPr="00432F22">
        <w:t xml:space="preserve">BPA is used </w:t>
      </w:r>
      <w:r w:rsidR="00974679">
        <w:t xml:space="preserve">as a starting substance </w:t>
      </w:r>
      <w:r w:rsidR="001F6260">
        <w:t xml:space="preserve">in </w:t>
      </w:r>
      <w:r w:rsidR="00974679">
        <w:t xml:space="preserve">the </w:t>
      </w:r>
      <w:r w:rsidR="005C6113" w:rsidRPr="00432F22">
        <w:t xml:space="preserve">manufacture </w:t>
      </w:r>
      <w:r w:rsidR="00974679">
        <w:t xml:space="preserve">of </w:t>
      </w:r>
      <w:r w:rsidR="00982660" w:rsidRPr="00432F22">
        <w:t xml:space="preserve">plastic </w:t>
      </w:r>
      <w:r w:rsidR="005C6113" w:rsidRPr="00432F22">
        <w:t xml:space="preserve">polysulfone resins. </w:t>
      </w:r>
      <w:r w:rsidR="0080480A" w:rsidRPr="00432F22">
        <w:t>These p</w:t>
      </w:r>
      <w:r w:rsidR="005C6113" w:rsidRPr="00432F22">
        <w:t xml:space="preserve">olysulfone </w:t>
      </w:r>
      <w:r w:rsidR="0080480A" w:rsidRPr="00432F22">
        <w:t xml:space="preserve">resins </w:t>
      </w:r>
      <w:r w:rsidR="00752BC2">
        <w:t>are used in the manufacture of</w:t>
      </w:r>
      <w:r w:rsidR="0080480A" w:rsidRPr="00432F22">
        <w:t xml:space="preserve"> </w:t>
      </w:r>
      <w:r w:rsidR="008D4C56" w:rsidRPr="008D4C56">
        <w:t>either separation membrane</w:t>
      </w:r>
      <w:r w:rsidR="008D4C56">
        <w:t>s</w:t>
      </w:r>
      <w:r w:rsidR="008D4C56" w:rsidRPr="008D4C56">
        <w:t xml:space="preserve"> </w:t>
      </w:r>
      <w:r w:rsidR="008D4C56">
        <w:t>for</w:t>
      </w:r>
      <w:r w:rsidR="008D4C56" w:rsidRPr="008D4C56">
        <w:t xml:space="preserve"> micro-</w:t>
      </w:r>
      <w:r w:rsidR="008D4C56">
        <w:t xml:space="preserve"> and ultra-</w:t>
      </w:r>
      <w:r w:rsidR="008D4C56" w:rsidRPr="008D4C56">
        <w:t>filtration</w:t>
      </w:r>
      <w:r w:rsidR="00FC11D2">
        <w:t>,</w:t>
      </w:r>
      <w:r w:rsidR="008D4C56" w:rsidRPr="008D4C56">
        <w:t xml:space="preserve"> or as a microporous support of thin-film polyamide membrane</w:t>
      </w:r>
      <w:r w:rsidR="002D1936">
        <w:t>s</w:t>
      </w:r>
      <w:r w:rsidR="008D4C56" w:rsidRPr="008D4C56">
        <w:t xml:space="preserve"> </w:t>
      </w:r>
      <w:r w:rsidR="008D4C56">
        <w:t xml:space="preserve">for </w:t>
      </w:r>
      <w:r w:rsidR="008D4C56" w:rsidRPr="008D4C56">
        <w:t>nano-filtration</w:t>
      </w:r>
      <w:r w:rsidR="008D4C56">
        <w:t xml:space="preserve"> or </w:t>
      </w:r>
      <w:r w:rsidR="008D4C56" w:rsidRPr="008D4C56">
        <w:t>reverse osmosis</w:t>
      </w:r>
      <w:r w:rsidR="007F4481">
        <w:t>. These</w:t>
      </w:r>
      <w:r w:rsidR="001F6260">
        <w:t xml:space="preserve"> </w:t>
      </w:r>
      <w:r w:rsidR="008D4C56">
        <w:t xml:space="preserve">processes </w:t>
      </w:r>
      <w:r w:rsidR="001F6260">
        <w:t xml:space="preserve">are </w:t>
      </w:r>
      <w:r w:rsidR="0080480A" w:rsidRPr="00432F22">
        <w:t xml:space="preserve">critical in the </w:t>
      </w:r>
      <w:r w:rsidR="00593746">
        <w:t>production</w:t>
      </w:r>
      <w:r w:rsidR="002533B5">
        <w:t xml:space="preserve"> </w:t>
      </w:r>
      <w:r w:rsidR="0080480A" w:rsidRPr="00432F22">
        <w:t xml:space="preserve">of </w:t>
      </w:r>
      <w:r w:rsidR="00147E80">
        <w:t xml:space="preserve">a wide range of </w:t>
      </w:r>
      <w:r w:rsidR="0080480A" w:rsidRPr="00432F22">
        <w:t>food</w:t>
      </w:r>
      <w:r w:rsidR="00147E80">
        <w:t>s</w:t>
      </w:r>
      <w:r w:rsidR="00F2189C">
        <w:t>,</w:t>
      </w:r>
      <w:r w:rsidR="002533B5">
        <w:t xml:space="preserve"> including dairy-based foods</w:t>
      </w:r>
      <w:r w:rsidR="00BD707A">
        <w:t>,</w:t>
      </w:r>
      <w:r w:rsidR="00147E80">
        <w:t xml:space="preserve"> to ensure that they are safe to consume</w:t>
      </w:r>
      <w:r w:rsidR="001F6260">
        <w:t xml:space="preserve"> by filtering out pathogens</w:t>
      </w:r>
      <w:r w:rsidR="002D1936">
        <w:t>,</w:t>
      </w:r>
      <w:r w:rsidR="008D4C56">
        <w:t xml:space="preserve"> including viruses and bacteria as well as certain contaminants such as heavy metals and pesticides</w:t>
      </w:r>
      <w:r w:rsidR="005C6113" w:rsidRPr="00432F22">
        <w:t xml:space="preserve">. </w:t>
      </w:r>
      <w:r w:rsidR="002533B5">
        <w:t xml:space="preserve">However, </w:t>
      </w:r>
      <w:r w:rsidR="005C6113" w:rsidRPr="00432F22">
        <w:t>no alternative</w:t>
      </w:r>
      <w:r w:rsidR="00BD707A">
        <w:t>s</w:t>
      </w:r>
      <w:r w:rsidR="005C6113" w:rsidRPr="00432F22">
        <w:t xml:space="preserve"> </w:t>
      </w:r>
      <w:r w:rsidR="002533B5">
        <w:t>c</w:t>
      </w:r>
      <w:r w:rsidR="002533B5" w:rsidRPr="00432F22">
        <w:t xml:space="preserve">urrently </w:t>
      </w:r>
      <w:r w:rsidR="00FD08CD" w:rsidRPr="00432F22">
        <w:t>exist</w:t>
      </w:r>
      <w:r w:rsidR="005C6113" w:rsidRPr="00432F22">
        <w:t xml:space="preserve"> that </w:t>
      </w:r>
      <w:r w:rsidR="00BD707A">
        <w:t>are</w:t>
      </w:r>
      <w:r w:rsidR="00724480" w:rsidRPr="00432F22">
        <w:t xml:space="preserve"> technically feasible at commercial </w:t>
      </w:r>
      <w:r w:rsidR="00FF3973" w:rsidRPr="00432F22">
        <w:t>scale,</w:t>
      </w:r>
      <w:r w:rsidR="00724480" w:rsidRPr="00432F22">
        <w:t xml:space="preserve"> and </w:t>
      </w:r>
      <w:r w:rsidR="0080480A" w:rsidRPr="00432F22">
        <w:t xml:space="preserve">which </w:t>
      </w:r>
      <w:r w:rsidR="005C6113" w:rsidRPr="00432F22">
        <w:t>can provide the necessary mechanical strength and chemical stability</w:t>
      </w:r>
      <w:r w:rsidR="00724480" w:rsidRPr="00432F22">
        <w:t xml:space="preserve"> for such applications</w:t>
      </w:r>
      <w:r w:rsidR="005C6113" w:rsidRPr="00432F22">
        <w:t>.</w:t>
      </w:r>
      <w:r w:rsidR="00724480" w:rsidRPr="00432F22">
        <w:t xml:space="preserve"> </w:t>
      </w:r>
      <w:r w:rsidR="006E3BCB">
        <w:t xml:space="preserve">In </w:t>
      </w:r>
      <w:r>
        <w:t xml:space="preserve">addition, </w:t>
      </w:r>
      <w:r w:rsidR="001E2F1C" w:rsidRPr="001E2F1C">
        <w:t>to avoid potential health risks from</w:t>
      </w:r>
      <w:r w:rsidR="0080480A" w:rsidRPr="00432F22">
        <w:t xml:space="preserve"> </w:t>
      </w:r>
      <w:r w:rsidR="00EE3E6B">
        <w:t>the</w:t>
      </w:r>
      <w:r w:rsidR="00EE3E6B" w:rsidRPr="00432F22">
        <w:t xml:space="preserve"> </w:t>
      </w:r>
      <w:r w:rsidR="0080480A" w:rsidRPr="00432F22">
        <w:t xml:space="preserve">presence of residual BPA </w:t>
      </w:r>
      <w:r w:rsidR="003C0AC5" w:rsidRPr="00432F22">
        <w:t>in the polysulfone-based membrane</w:t>
      </w:r>
      <w:r w:rsidR="001E2F1C">
        <w:t xml:space="preserve"> if BPA is used to manufacture polysulfone, </w:t>
      </w:r>
      <w:r w:rsidR="001E2F1C" w:rsidRPr="001E2F1C">
        <w:t>manufacturers can ensure that such presence</w:t>
      </w:r>
      <w:r w:rsidR="0080480A" w:rsidRPr="00432F22">
        <w:t xml:space="preserve"> is avoided or reduced to negligible amounts</w:t>
      </w:r>
      <w:r w:rsidR="002B42B3" w:rsidRPr="00432F22">
        <w:t xml:space="preserve"> following good manufacturing practice</w:t>
      </w:r>
      <w:r w:rsidR="000836CC">
        <w:t xml:space="preserve"> (GMP)</w:t>
      </w:r>
      <w:r w:rsidR="0014204A">
        <w:t>. This can be achieved</w:t>
      </w:r>
      <w:r w:rsidR="007E0F65">
        <w:t xml:space="preserve"> </w:t>
      </w:r>
      <w:r w:rsidR="006E3BCB">
        <w:t>both in the</w:t>
      </w:r>
      <w:r w:rsidR="007E0F65">
        <w:t xml:space="preserve"> polymer</w:t>
      </w:r>
      <w:r w:rsidR="008A3D0B">
        <w:t xml:space="preserve"> </w:t>
      </w:r>
      <w:r w:rsidR="006E3BCB">
        <w:t xml:space="preserve">manufacturing </w:t>
      </w:r>
      <w:r w:rsidR="00FC11D2">
        <w:t xml:space="preserve">as well as </w:t>
      </w:r>
      <w:r w:rsidR="00867514">
        <w:t>in the final manufacturing stages</w:t>
      </w:r>
      <w:r w:rsidR="00F2189C">
        <w:t>,</w:t>
      </w:r>
      <w:r w:rsidR="00867514">
        <w:t xml:space="preserve"> by </w:t>
      </w:r>
      <w:r w:rsidR="008A3D0B">
        <w:t xml:space="preserve">flushing and cleaning </w:t>
      </w:r>
      <w:r>
        <w:t xml:space="preserve">the membrane </w:t>
      </w:r>
      <w:r w:rsidR="008A3D0B">
        <w:t xml:space="preserve">before </w:t>
      </w:r>
      <w:r>
        <w:t xml:space="preserve">its </w:t>
      </w:r>
      <w:r w:rsidR="008A3D0B">
        <w:t>first use to remove any remaining residual BPA</w:t>
      </w:r>
      <w:r w:rsidR="00FB2459">
        <w:t xml:space="preserve">. </w:t>
      </w:r>
      <w:r w:rsidR="00867514">
        <w:t xml:space="preserve">This may be </w:t>
      </w:r>
      <w:r>
        <w:t>done</w:t>
      </w:r>
      <w:r w:rsidR="00867514">
        <w:t xml:space="preserve"> by the user of the membrane</w:t>
      </w:r>
      <w:r w:rsidR="00A80A07">
        <w:t>, including a food business operator</w:t>
      </w:r>
      <w:r w:rsidR="00867514">
        <w:t xml:space="preserve">. </w:t>
      </w:r>
      <w:r w:rsidR="00FB2459">
        <w:t xml:space="preserve">Furthermore, </w:t>
      </w:r>
      <w:r w:rsidR="00867514">
        <w:t xml:space="preserve">if a trace amount of BPA </w:t>
      </w:r>
      <w:r w:rsidR="00F2189C">
        <w:t>is</w:t>
      </w:r>
      <w:r w:rsidR="00867514">
        <w:t xml:space="preserve"> left in the </w:t>
      </w:r>
      <w:r w:rsidR="00A80A07">
        <w:t xml:space="preserve">polysulfone </w:t>
      </w:r>
      <w:r w:rsidR="00867514">
        <w:t xml:space="preserve">material, its </w:t>
      </w:r>
      <w:r w:rsidR="00FB2459">
        <w:t>actual</w:t>
      </w:r>
      <w:r w:rsidR="002B42B3" w:rsidRPr="00432F22">
        <w:t xml:space="preserve"> migration </w:t>
      </w:r>
      <w:r w:rsidR="00867514">
        <w:t>would be very</w:t>
      </w:r>
      <w:r w:rsidR="002B42B3" w:rsidRPr="00432F22">
        <w:t xml:space="preserve"> low because of the short time </w:t>
      </w:r>
      <w:r w:rsidR="00E02D90" w:rsidRPr="00432F22">
        <w:t>that the</w:t>
      </w:r>
      <w:r w:rsidR="002B42B3" w:rsidRPr="00432F22">
        <w:t xml:space="preserve"> food</w:t>
      </w:r>
      <w:r w:rsidR="00E02D90" w:rsidRPr="00432F22">
        <w:t xml:space="preserve"> spends</w:t>
      </w:r>
      <w:r w:rsidR="002B42B3" w:rsidRPr="00432F22">
        <w:t xml:space="preserve"> in contact with</w:t>
      </w:r>
      <w:r w:rsidR="00E02D90" w:rsidRPr="00432F22">
        <w:t xml:space="preserve"> the membrane</w:t>
      </w:r>
      <w:r w:rsidR="00A80A07">
        <w:t>. Considering this</w:t>
      </w:r>
      <w:r w:rsidR="007E0F65">
        <w:t xml:space="preserve"> and </w:t>
      </w:r>
      <w:r w:rsidR="00B07876">
        <w:t xml:space="preserve">the </w:t>
      </w:r>
      <w:r w:rsidR="007E0F65">
        <w:t xml:space="preserve">repeated use </w:t>
      </w:r>
      <w:r w:rsidR="00B07876">
        <w:t xml:space="preserve">of the membranes </w:t>
      </w:r>
      <w:r w:rsidR="007E0F65">
        <w:t>over a long period of time,</w:t>
      </w:r>
      <w:r w:rsidR="00E02D90" w:rsidRPr="00432F22">
        <w:t xml:space="preserve"> it is estimated that </w:t>
      </w:r>
      <w:r w:rsidR="00724480" w:rsidRPr="00432F22">
        <w:t xml:space="preserve">the use of such applications </w:t>
      </w:r>
      <w:r w:rsidR="00EC720A" w:rsidRPr="00432F22">
        <w:t>does</w:t>
      </w:r>
      <w:r w:rsidR="00724480" w:rsidRPr="00432F22">
        <w:t xml:space="preserve"> not lead to </w:t>
      </w:r>
      <w:r w:rsidR="00EC720A" w:rsidRPr="00432F22">
        <w:t>exposure to BPA that poses a risk to consumers</w:t>
      </w:r>
      <w:r w:rsidR="00E02D90" w:rsidRPr="00432F22">
        <w:t>.</w:t>
      </w:r>
      <w:r w:rsidR="00EC720A" w:rsidRPr="00432F22">
        <w:t xml:space="preserve"> </w:t>
      </w:r>
      <w:r w:rsidR="00E02D90" w:rsidRPr="00432F22">
        <w:t xml:space="preserve">Taking </w:t>
      </w:r>
      <w:r w:rsidR="00927DD6">
        <w:t>those factors</w:t>
      </w:r>
      <w:r w:rsidR="00927DD6" w:rsidRPr="00432F22">
        <w:t xml:space="preserve"> </w:t>
      </w:r>
      <w:r w:rsidR="00E02D90" w:rsidRPr="00432F22">
        <w:t xml:space="preserve">into account </w:t>
      </w:r>
      <w:r w:rsidR="00EC720A" w:rsidRPr="00432F22">
        <w:t xml:space="preserve">and in light of the </w:t>
      </w:r>
      <w:r w:rsidR="00B07876">
        <w:t>criticality of</w:t>
      </w:r>
      <w:r w:rsidR="00B07876" w:rsidRPr="00432F22">
        <w:t xml:space="preserve"> </w:t>
      </w:r>
      <w:r w:rsidR="00EC720A" w:rsidRPr="00432F22">
        <w:t xml:space="preserve">these </w:t>
      </w:r>
      <w:r w:rsidR="00A80A07">
        <w:t xml:space="preserve">specific polysulfone </w:t>
      </w:r>
      <w:r w:rsidR="00EC720A" w:rsidRPr="00432F22">
        <w:t xml:space="preserve">applications </w:t>
      </w:r>
      <w:r w:rsidR="00B07876">
        <w:t>in</w:t>
      </w:r>
      <w:r w:rsidR="00E02D90" w:rsidRPr="00432F22">
        <w:t xml:space="preserve"> </w:t>
      </w:r>
      <w:r w:rsidR="00B07876" w:rsidRPr="00432F22">
        <w:t>ensur</w:t>
      </w:r>
      <w:r w:rsidR="00B07876">
        <w:t>ing</w:t>
      </w:r>
      <w:r w:rsidR="00B07876" w:rsidRPr="00432F22">
        <w:t xml:space="preserve"> </w:t>
      </w:r>
      <w:r w:rsidR="00E02D90" w:rsidRPr="00432F22">
        <w:t>s</w:t>
      </w:r>
      <w:r w:rsidR="00EC720A" w:rsidRPr="00432F22">
        <w:t xml:space="preserve">afety of </w:t>
      </w:r>
      <w:r w:rsidR="00E02D90" w:rsidRPr="00432F22">
        <w:t xml:space="preserve">consumers of a wide range of </w:t>
      </w:r>
      <w:r w:rsidR="00EC720A" w:rsidRPr="00432F22">
        <w:t>food</w:t>
      </w:r>
      <w:r w:rsidR="00E02D90" w:rsidRPr="00432F22">
        <w:t>stuffs</w:t>
      </w:r>
      <w:r w:rsidR="00EC720A" w:rsidRPr="00432F22">
        <w:t xml:space="preserve">, it is appropriate to </w:t>
      </w:r>
      <w:r w:rsidR="00974679">
        <w:t xml:space="preserve">allow a derogation from the prohibition </w:t>
      </w:r>
      <w:r w:rsidR="00FC11D2">
        <w:t xml:space="preserve">of </w:t>
      </w:r>
      <w:r w:rsidR="00974679">
        <w:t>the use of BP</w:t>
      </w:r>
      <w:r w:rsidR="000D5959" w:rsidRPr="00432F22">
        <w:t xml:space="preserve">A </w:t>
      </w:r>
      <w:r w:rsidR="00FC11D2">
        <w:t>and authorise its use specifically</w:t>
      </w:r>
      <w:r w:rsidR="00FC11D2" w:rsidRPr="00432F22">
        <w:t xml:space="preserve"> </w:t>
      </w:r>
      <w:r w:rsidR="00FC11D2">
        <w:t>in</w:t>
      </w:r>
      <w:r w:rsidR="00FC11D2" w:rsidRPr="00432F22">
        <w:t xml:space="preserve"> </w:t>
      </w:r>
      <w:r w:rsidR="0080480A" w:rsidRPr="00432F22">
        <w:t>the</w:t>
      </w:r>
      <w:r w:rsidR="000D5959" w:rsidRPr="00432F22">
        <w:t xml:space="preserve"> </w:t>
      </w:r>
      <w:r w:rsidR="0080480A" w:rsidRPr="00432F22">
        <w:t xml:space="preserve">manufacture of </w:t>
      </w:r>
      <w:r w:rsidR="00EC11A0">
        <w:rPr>
          <w:szCs w:val="24"/>
        </w:rPr>
        <w:t>polysulfone filtration membrane assemblies</w:t>
      </w:r>
      <w:r w:rsidR="001F6260">
        <w:t>,</w:t>
      </w:r>
      <w:r w:rsidR="000775F1" w:rsidRPr="00432F22">
        <w:t xml:space="preserve"> </w:t>
      </w:r>
      <w:r w:rsidR="00927DD6">
        <w:t xml:space="preserve">together </w:t>
      </w:r>
      <w:r w:rsidR="00974679">
        <w:t xml:space="preserve">with a restriction that BPA </w:t>
      </w:r>
      <w:r w:rsidR="00C35F25">
        <w:t>does</w:t>
      </w:r>
      <w:r w:rsidR="00974679">
        <w:t xml:space="preserve"> not migrate </w:t>
      </w:r>
      <w:bookmarkStart w:id="0" w:name="_Hlk156766535"/>
      <w:r w:rsidR="003C0AC5" w:rsidRPr="00432F22">
        <w:t>into food</w:t>
      </w:r>
      <w:bookmarkEnd w:id="0"/>
      <w:r w:rsidR="00EC720A" w:rsidRPr="00432F22">
        <w:t>.</w:t>
      </w:r>
      <w:r w:rsidR="002E7408">
        <w:t xml:space="preserve"> </w:t>
      </w:r>
    </w:p>
    <w:p w14:paraId="243C423C" w14:textId="77777777" w:rsidR="004D576D" w:rsidRDefault="00B07876" w:rsidP="008A3D0B">
      <w:pPr>
        <w:pStyle w:val="Considrant"/>
      </w:pPr>
      <w:r>
        <w:t xml:space="preserve">Secondly, </w:t>
      </w:r>
      <w:r w:rsidR="00F249F1" w:rsidRPr="00432F22">
        <w:t xml:space="preserve">BPA is also used </w:t>
      </w:r>
      <w:r w:rsidR="00DB594D">
        <w:t xml:space="preserve">in the manufacture of </w:t>
      </w:r>
      <w:r w:rsidR="00DB594D" w:rsidRPr="00432F22">
        <w:t>liquid epoxy-based varnishes and coatings</w:t>
      </w:r>
      <w:r w:rsidR="00DB594D">
        <w:t xml:space="preserve">, </w:t>
      </w:r>
      <w:r w:rsidR="00F249F1" w:rsidRPr="00432F22">
        <w:t xml:space="preserve">which </w:t>
      </w:r>
      <w:r w:rsidR="00DB594D" w:rsidRPr="00432F22">
        <w:t xml:space="preserve">are </w:t>
      </w:r>
      <w:r w:rsidR="00C35F25">
        <w:t>cured on</w:t>
      </w:r>
      <w:r w:rsidR="00DB594D" w:rsidRPr="00432F22">
        <w:t xml:space="preserve">to </w:t>
      </w:r>
      <w:r w:rsidR="00C35F25">
        <w:t xml:space="preserve">the surface of </w:t>
      </w:r>
      <w:r w:rsidR="00DB594D" w:rsidRPr="00432F22">
        <w:t xml:space="preserve">large tanks and vessels </w:t>
      </w:r>
      <w:r w:rsidR="004D576D">
        <w:t>as well as large capacity</w:t>
      </w:r>
      <w:r w:rsidR="00DB594D">
        <w:t xml:space="preserve"> piping</w:t>
      </w:r>
      <w:r w:rsidR="004D576D">
        <w:t xml:space="preserve"> interconnecting these</w:t>
      </w:r>
      <w:r w:rsidR="006C6055">
        <w:t xml:space="preserve"> containers</w:t>
      </w:r>
      <w:r w:rsidR="00737CFE">
        <w:t>. These articles</w:t>
      </w:r>
      <w:r w:rsidR="00DB594D">
        <w:t xml:space="preserve"> </w:t>
      </w:r>
      <w:r w:rsidR="004D576D">
        <w:t xml:space="preserve">are </w:t>
      </w:r>
      <w:r w:rsidR="00DB594D" w:rsidRPr="00432F22">
        <w:t xml:space="preserve">typically used in the processing, storage and transport of food, including wines, beers, oils, dairy products and cereal grains. </w:t>
      </w:r>
      <w:r w:rsidR="00861223">
        <w:t xml:space="preserve">Currently, challenges remain in the timely replacement of BPA-based </w:t>
      </w:r>
      <w:r w:rsidR="00861223" w:rsidRPr="00432F22">
        <w:t>epoxy-based varnishes and coatings</w:t>
      </w:r>
      <w:r w:rsidR="00861223">
        <w:t xml:space="preserve"> for such applications</w:t>
      </w:r>
      <w:r w:rsidR="00FF138C">
        <w:t xml:space="preserve">, which would likely result in the removal and destruction of </w:t>
      </w:r>
      <w:r w:rsidR="00FC11D2">
        <w:t xml:space="preserve">such </w:t>
      </w:r>
      <w:r w:rsidR="00FF138C">
        <w:t>large</w:t>
      </w:r>
      <w:r w:rsidR="00FF28F2">
        <w:t>,</w:t>
      </w:r>
      <w:r w:rsidR="00FF138C">
        <w:t xml:space="preserve"> fixed tanks and vessels with disproportionate costs</w:t>
      </w:r>
      <w:r w:rsidR="00861223">
        <w:t xml:space="preserve">. </w:t>
      </w:r>
      <w:r>
        <w:t xml:space="preserve">However, </w:t>
      </w:r>
      <w:r w:rsidR="00FB2459">
        <w:t>the</w:t>
      </w:r>
      <w:r w:rsidR="00FB2459" w:rsidRPr="00432F22">
        <w:t xml:space="preserve"> presence of residual BPA </w:t>
      </w:r>
      <w:r w:rsidR="00FB2459">
        <w:t>can be</w:t>
      </w:r>
      <w:r w:rsidR="00FB2459" w:rsidRPr="00432F22">
        <w:t xml:space="preserve"> avoided or reduced to negligible amounts following</w:t>
      </w:r>
      <w:r w:rsidR="00FB2459">
        <w:t xml:space="preserve"> GMP</w:t>
      </w:r>
      <w:r w:rsidR="008A3D0B">
        <w:t xml:space="preserve"> and the use of flushing and cleaning before the first use to remove any remaining residual BPA</w:t>
      </w:r>
      <w:r w:rsidR="00FB2459">
        <w:t>. In addition, t</w:t>
      </w:r>
      <w:r w:rsidR="00F65AD7">
        <w:t xml:space="preserve">he application of </w:t>
      </w:r>
      <w:r w:rsidR="00897E78">
        <w:t xml:space="preserve">such </w:t>
      </w:r>
      <w:r w:rsidR="00F65AD7" w:rsidRPr="00432F22">
        <w:t>varnishes and coatings</w:t>
      </w:r>
      <w:r w:rsidR="00F65AD7">
        <w:t xml:space="preserve"> </w:t>
      </w:r>
      <w:r w:rsidR="000836CC">
        <w:t xml:space="preserve">to large </w:t>
      </w:r>
      <w:r w:rsidR="00FC11D2">
        <w:t>tanks and vessels</w:t>
      </w:r>
      <w:r w:rsidR="000836CC">
        <w:t xml:space="preserve"> </w:t>
      </w:r>
      <w:r w:rsidR="00F65AD7" w:rsidRPr="00432F22">
        <w:t xml:space="preserve">results in low surface area to volume ratios </w:t>
      </w:r>
      <w:r w:rsidR="00F65AD7">
        <w:t>as regards</w:t>
      </w:r>
      <w:r w:rsidR="00F65AD7" w:rsidRPr="00432F22">
        <w:t xml:space="preserve"> the amount of food in contact with the material</w:t>
      </w:r>
      <w:r w:rsidR="00FB2459">
        <w:t xml:space="preserve">, </w:t>
      </w:r>
      <w:r w:rsidR="008C6AA6">
        <w:t xml:space="preserve">in particular if the containers have a capacity above 1000 litres </w:t>
      </w:r>
      <w:r w:rsidR="00FB2459">
        <w:t xml:space="preserve">where actual migration is not expected to lead to </w:t>
      </w:r>
      <w:r>
        <w:t xml:space="preserve">a level of </w:t>
      </w:r>
      <w:r w:rsidR="00FB2459">
        <w:t>exposure to BPA</w:t>
      </w:r>
      <w:r w:rsidR="00897E78">
        <w:t xml:space="preserve"> </w:t>
      </w:r>
      <w:r w:rsidR="008C6AA6">
        <w:t>that</w:t>
      </w:r>
      <w:r w:rsidR="00897E78">
        <w:t xml:space="preserve"> would represent</w:t>
      </w:r>
      <w:r w:rsidR="00FB2459" w:rsidRPr="00432F22">
        <w:t xml:space="preserve"> a risk to consumers</w:t>
      </w:r>
      <w:r w:rsidR="008C6AA6">
        <w:t>.</w:t>
      </w:r>
      <w:r w:rsidR="00FB2459">
        <w:t xml:space="preserve"> </w:t>
      </w:r>
      <w:r w:rsidR="008A3D0B">
        <w:t>Taking this into account and the repeated use of such containers over a long period of time, it</w:t>
      </w:r>
      <w:r w:rsidR="00E75C72" w:rsidRPr="00432F22">
        <w:t xml:space="preserve"> is</w:t>
      </w:r>
      <w:r w:rsidR="008A3D0B">
        <w:t xml:space="preserve"> </w:t>
      </w:r>
      <w:r w:rsidR="00E75C72" w:rsidRPr="00432F22">
        <w:t xml:space="preserve">appropriate to </w:t>
      </w:r>
      <w:r w:rsidR="00E75C72">
        <w:t>allow a derogation from the prohibition o</w:t>
      </w:r>
      <w:r w:rsidR="00FC11D2">
        <w:t>f</w:t>
      </w:r>
      <w:r w:rsidR="00E75C72">
        <w:t xml:space="preserve"> the use of BP</w:t>
      </w:r>
      <w:r w:rsidR="00E75C72" w:rsidRPr="00432F22">
        <w:t xml:space="preserve">A </w:t>
      </w:r>
      <w:r w:rsidR="00FC11D2">
        <w:t xml:space="preserve">and </w:t>
      </w:r>
      <w:r w:rsidR="00E75C72" w:rsidRPr="00432F22">
        <w:t xml:space="preserve">specifically </w:t>
      </w:r>
      <w:r w:rsidR="00FC11D2">
        <w:t>authorise its use in</w:t>
      </w:r>
      <w:r w:rsidR="00E75C72" w:rsidRPr="00432F22">
        <w:t xml:space="preserve"> the manufacture of </w:t>
      </w:r>
      <w:r w:rsidR="00FD7B0F" w:rsidRPr="00432F22">
        <w:t>liquid epoxy-based varnishes and coatings</w:t>
      </w:r>
      <w:r w:rsidR="00C35F25">
        <w:t xml:space="preserve"> applied to the surface of </w:t>
      </w:r>
      <w:r w:rsidR="008A3D0B">
        <w:t xml:space="preserve">such large capacity </w:t>
      </w:r>
      <w:r w:rsidR="004A3FFF">
        <w:t xml:space="preserve">final </w:t>
      </w:r>
      <w:r w:rsidR="00C35F25">
        <w:t>food contact</w:t>
      </w:r>
      <w:r w:rsidR="000836CC">
        <w:t xml:space="preserve"> </w:t>
      </w:r>
      <w:r w:rsidR="00C35F25">
        <w:t>articles</w:t>
      </w:r>
      <w:r w:rsidR="004A3FFF">
        <w:t xml:space="preserve">, </w:t>
      </w:r>
      <w:r w:rsidR="004A3FFF" w:rsidRPr="00F7180C">
        <w:t>with a restriction that BPA does not migrate into food</w:t>
      </w:r>
      <w:r w:rsidR="004D576D">
        <w:t xml:space="preserve">. </w:t>
      </w:r>
    </w:p>
    <w:p w14:paraId="36C5C0EE" w14:textId="56B8512A" w:rsidR="00750DE2" w:rsidRDefault="00B51BE1" w:rsidP="00B51BE1">
      <w:pPr>
        <w:pStyle w:val="Considrant"/>
      </w:pPr>
      <w:bookmarkStart w:id="1" w:name="_Hlk167804625"/>
      <w:r>
        <w:t xml:space="preserve">At stages prior to the manufacture of food contact materials and articles, BPA may </w:t>
      </w:r>
      <w:r w:rsidR="00FC11D2">
        <w:t xml:space="preserve">also </w:t>
      </w:r>
      <w:r>
        <w:t xml:space="preserve">be used as a precursor in the chemical synthesis of </w:t>
      </w:r>
      <w:r w:rsidR="00750DE2">
        <w:t xml:space="preserve">other </w:t>
      </w:r>
      <w:r w:rsidR="002453EF">
        <w:t xml:space="preserve">monomers or </w:t>
      </w:r>
      <w:r>
        <w:t xml:space="preserve">starting substances, such as </w:t>
      </w:r>
      <w:r w:rsidRPr="00432F22">
        <w:t>bisphenol-A diglycidyl ether (‘BADGE’) (CAS No 1675-54-3)</w:t>
      </w:r>
      <w:r w:rsidR="00DC7F77">
        <w:t xml:space="preserve"> </w:t>
      </w:r>
      <w:r w:rsidR="009C33BB">
        <w:t>and</w:t>
      </w:r>
      <w:r w:rsidR="00DC7F77">
        <w:t xml:space="preserve"> </w:t>
      </w:r>
      <w:r w:rsidR="009D515B">
        <w:t>consequently</w:t>
      </w:r>
      <w:r w:rsidR="00075E8E">
        <w:t xml:space="preserve"> </w:t>
      </w:r>
      <w:r w:rsidR="00DC7F77">
        <w:t>form part of the chemical structure of such substances</w:t>
      </w:r>
      <w:r w:rsidR="005D7DAC">
        <w:t>, resulting in another bisphenol or bisphenol derivative</w:t>
      </w:r>
      <w:r>
        <w:t>.</w:t>
      </w:r>
      <w:r w:rsidRPr="00432F22">
        <w:t xml:space="preserve"> </w:t>
      </w:r>
      <w:r w:rsidR="00142744">
        <w:t xml:space="preserve">Although </w:t>
      </w:r>
      <w:r w:rsidR="003A31DE">
        <w:t xml:space="preserve">other bisphenols or bisphenol </w:t>
      </w:r>
      <w:r w:rsidR="003A31DE">
        <w:lastRenderedPageBreak/>
        <w:t xml:space="preserve">derivatives </w:t>
      </w:r>
      <w:r w:rsidR="00142744">
        <w:t xml:space="preserve">are </w:t>
      </w:r>
      <w:r w:rsidR="002D1936">
        <w:t xml:space="preserve">somewhat </w:t>
      </w:r>
      <w:r w:rsidR="00142744">
        <w:t xml:space="preserve">chemically </w:t>
      </w:r>
      <w:r w:rsidR="002D1936">
        <w:t>different</w:t>
      </w:r>
      <w:r w:rsidR="00142744">
        <w:t xml:space="preserve"> from BPA itself, the</w:t>
      </w:r>
      <w:r w:rsidR="003A31DE">
        <w:t>ir</w:t>
      </w:r>
      <w:r w:rsidR="00142744">
        <w:t xml:space="preserve"> use </w:t>
      </w:r>
      <w:r w:rsidR="004A3FFF">
        <w:t>as</w:t>
      </w:r>
      <w:r w:rsidR="004A4FBB">
        <w:t xml:space="preserve"> </w:t>
      </w:r>
      <w:r w:rsidR="004A3FFF">
        <w:t xml:space="preserve">monomers or other </w:t>
      </w:r>
      <w:r w:rsidR="004A4FBB">
        <w:t>starting substances</w:t>
      </w:r>
      <w:r w:rsidR="004A3FFF">
        <w:t xml:space="preserve"> </w:t>
      </w:r>
      <w:r w:rsidR="003A31DE">
        <w:t>in the manufacture of food contact materials and articles</w:t>
      </w:r>
      <w:r w:rsidR="00142744">
        <w:t>,</w:t>
      </w:r>
      <w:r w:rsidR="00075E8E">
        <w:t xml:space="preserve"> may </w:t>
      </w:r>
      <w:r w:rsidR="00142744">
        <w:t>result in the presence of</w:t>
      </w:r>
      <w:r w:rsidR="00075E8E">
        <w:t xml:space="preserve"> </w:t>
      </w:r>
      <w:r w:rsidR="009F4007">
        <w:t xml:space="preserve">small amounts of </w:t>
      </w:r>
      <w:r w:rsidR="00075E8E">
        <w:t>BPA</w:t>
      </w:r>
      <w:r w:rsidR="00142744">
        <w:t xml:space="preserve"> </w:t>
      </w:r>
      <w:r w:rsidR="009F4007">
        <w:t>in</w:t>
      </w:r>
      <w:r w:rsidR="00142744">
        <w:t xml:space="preserve"> food contact materials and articles</w:t>
      </w:r>
      <w:r w:rsidR="00075E8E">
        <w:t xml:space="preserve">. </w:t>
      </w:r>
      <w:bookmarkStart w:id="2" w:name="_Hlk167804838"/>
      <w:r w:rsidR="004A4FBB">
        <w:t xml:space="preserve">This is particularly the case for the manufacture of liquid epoxy resins, which, as varnishes or coatings </w:t>
      </w:r>
      <w:r w:rsidR="002D1936">
        <w:t>are</w:t>
      </w:r>
      <w:r w:rsidR="004A4FBB">
        <w:t xml:space="preserve"> applied to a substrate in the manufacture of a final food contact article. </w:t>
      </w:r>
      <w:r w:rsidR="00897E78">
        <w:t>Therefore, while</w:t>
      </w:r>
      <w:r>
        <w:t xml:space="preserve"> Union rules on food contact materials and articles</w:t>
      </w:r>
      <w:r w:rsidR="00750DE2">
        <w:t xml:space="preserve"> do not </w:t>
      </w:r>
      <w:r w:rsidR="003A31DE">
        <w:t xml:space="preserve">in principle </w:t>
      </w:r>
      <w:r w:rsidR="00750DE2">
        <w:t xml:space="preserve">regulate </w:t>
      </w:r>
      <w:r w:rsidR="00C15AA7">
        <w:t xml:space="preserve">the </w:t>
      </w:r>
      <w:r w:rsidR="00750DE2">
        <w:t>stages before the formation of monomers or other starting substances</w:t>
      </w:r>
      <w:r>
        <w:t xml:space="preserve">, </w:t>
      </w:r>
      <w:r w:rsidR="009F4007">
        <w:t xml:space="preserve">it should be ensured that the use of other bisphenols or bisphenol derivatives </w:t>
      </w:r>
      <w:r w:rsidR="00075E8E">
        <w:t>as</w:t>
      </w:r>
      <w:r w:rsidR="00750DE2">
        <w:t xml:space="preserve"> monomers or other starting substances </w:t>
      </w:r>
      <w:r w:rsidR="009F4007">
        <w:t>does not result in the presence of free BPA in the resulting</w:t>
      </w:r>
      <w:r w:rsidR="00750DE2">
        <w:t xml:space="preserve"> </w:t>
      </w:r>
      <w:r w:rsidR="00075E8E">
        <w:t>food contact material or articles</w:t>
      </w:r>
      <w:r w:rsidR="00C15AA7">
        <w:t xml:space="preserve">, </w:t>
      </w:r>
      <w:r w:rsidR="004A4FBB">
        <w:t>including intermediate food contact materials to be used to manufacture final food contact articles</w:t>
      </w:r>
      <w:r w:rsidR="00C15AA7">
        <w:t>.</w:t>
      </w:r>
      <w:bookmarkEnd w:id="2"/>
    </w:p>
    <w:bookmarkEnd w:id="1"/>
    <w:p w14:paraId="5B8728BA" w14:textId="3163639A" w:rsidR="00EA5E0A" w:rsidRDefault="002E17CB" w:rsidP="00921EFF">
      <w:pPr>
        <w:pStyle w:val="Considrant"/>
      </w:pPr>
      <w:r w:rsidRPr="00432F22">
        <w:t>The</w:t>
      </w:r>
      <w:r w:rsidR="00B9314F" w:rsidRPr="00432F22">
        <w:t xml:space="preserve"> prohibition </w:t>
      </w:r>
      <w:r w:rsidRPr="00432F22">
        <w:t xml:space="preserve">of </w:t>
      </w:r>
      <w:r w:rsidR="00B9314F" w:rsidRPr="00432F22">
        <w:t>BPA</w:t>
      </w:r>
      <w:r w:rsidR="00C66980" w:rsidRPr="00432F22">
        <w:t xml:space="preserve"> </w:t>
      </w:r>
      <w:r w:rsidRPr="00432F22">
        <w:t xml:space="preserve">will </w:t>
      </w:r>
      <w:r w:rsidR="00590589" w:rsidRPr="00432F22">
        <w:t xml:space="preserve">consequently result in </w:t>
      </w:r>
      <w:r w:rsidR="00075E8E">
        <w:t xml:space="preserve">the need for </w:t>
      </w:r>
      <w:r w:rsidR="000E3FC6" w:rsidRPr="00432F22">
        <w:t>business operators</w:t>
      </w:r>
      <w:r w:rsidR="00C66980" w:rsidRPr="00432F22">
        <w:t xml:space="preserve"> to </w:t>
      </w:r>
      <w:r w:rsidR="00B9314F" w:rsidRPr="00432F22">
        <w:t>identif</w:t>
      </w:r>
      <w:r w:rsidR="00C66980" w:rsidRPr="00432F22">
        <w:t>y</w:t>
      </w:r>
      <w:r w:rsidR="00CC1B72" w:rsidRPr="00432F22">
        <w:t xml:space="preserve"> </w:t>
      </w:r>
      <w:r w:rsidR="00B9314F" w:rsidRPr="00432F22">
        <w:t>substances</w:t>
      </w:r>
      <w:r w:rsidR="00075E8E">
        <w:t xml:space="preserve"> –</w:t>
      </w:r>
      <w:r w:rsidR="00590589" w:rsidRPr="00432F22">
        <w:t xml:space="preserve"> in</w:t>
      </w:r>
      <w:r w:rsidR="00237488">
        <w:t>cluding</w:t>
      </w:r>
      <w:r w:rsidR="00590589" w:rsidRPr="00432F22">
        <w:t xml:space="preserve"> other bisphenols</w:t>
      </w:r>
      <w:r w:rsidR="00713531" w:rsidRPr="00432F22">
        <w:t xml:space="preserve"> and </w:t>
      </w:r>
      <w:r w:rsidR="002D1936">
        <w:t>bisphenol</w:t>
      </w:r>
      <w:r w:rsidR="00713531" w:rsidRPr="00432F22">
        <w:t xml:space="preserve"> derivatives</w:t>
      </w:r>
      <w:r w:rsidR="00075E8E">
        <w:t xml:space="preserve"> – that </w:t>
      </w:r>
      <w:r w:rsidR="002930B2">
        <w:t>provide a safe alternative to</w:t>
      </w:r>
      <w:r w:rsidR="00B9314F" w:rsidRPr="00432F22">
        <w:t xml:space="preserve"> replace </w:t>
      </w:r>
      <w:r w:rsidR="009B5F28" w:rsidRPr="00432F22">
        <w:t xml:space="preserve">BPA </w:t>
      </w:r>
      <w:r w:rsidR="00B9314F" w:rsidRPr="00432F22">
        <w:t xml:space="preserve">in </w:t>
      </w:r>
      <w:r w:rsidR="00221B2C" w:rsidRPr="00432F22">
        <w:t xml:space="preserve">the </w:t>
      </w:r>
      <w:r w:rsidR="00237488">
        <w:t xml:space="preserve">manufacture of </w:t>
      </w:r>
      <w:r w:rsidR="00361A2B">
        <w:t xml:space="preserve">food contact </w:t>
      </w:r>
      <w:r w:rsidR="00B9314F" w:rsidRPr="00432F22">
        <w:t>materials and articles, in order to continue to adequately meet the needs of the food supply chain and ensure food</w:t>
      </w:r>
      <w:r w:rsidR="00CC1B72" w:rsidRPr="00432F22">
        <w:t xml:space="preserve"> safety</w:t>
      </w:r>
      <w:r w:rsidR="00B9314F" w:rsidRPr="00432F22">
        <w:t xml:space="preserve">. </w:t>
      </w:r>
      <w:r w:rsidR="00092621" w:rsidRPr="00432F22">
        <w:t>A</w:t>
      </w:r>
      <w:r w:rsidR="00B9314F" w:rsidRPr="00432F22">
        <w:t>s a consequence</w:t>
      </w:r>
      <w:r w:rsidR="00092621" w:rsidRPr="00432F22">
        <w:t xml:space="preserve"> of</w:t>
      </w:r>
      <w:r w:rsidR="00B9314F" w:rsidRPr="00432F22">
        <w:t xml:space="preserve"> similar</w:t>
      </w:r>
      <w:r w:rsidR="00092621" w:rsidRPr="00432F22">
        <w:t>ities in</w:t>
      </w:r>
      <w:r w:rsidR="00B9314F" w:rsidRPr="00432F22">
        <w:t xml:space="preserve"> </w:t>
      </w:r>
      <w:r w:rsidR="00590589" w:rsidRPr="00432F22">
        <w:t>the</w:t>
      </w:r>
      <w:r w:rsidR="00237488">
        <w:t>ir</w:t>
      </w:r>
      <w:r w:rsidR="00590589" w:rsidRPr="00432F22">
        <w:t xml:space="preserve"> </w:t>
      </w:r>
      <w:r w:rsidR="00B9314F" w:rsidRPr="00432F22">
        <w:t xml:space="preserve">chemical structure and activity, </w:t>
      </w:r>
      <w:r w:rsidR="00590589" w:rsidRPr="00432F22">
        <w:t xml:space="preserve">certain </w:t>
      </w:r>
      <w:r w:rsidR="00B9314F" w:rsidRPr="00432F22">
        <w:t xml:space="preserve">other bisphenols </w:t>
      </w:r>
      <w:r w:rsidR="009D515B">
        <w:t>or</w:t>
      </w:r>
      <w:r w:rsidR="009D515B" w:rsidRPr="00432F22">
        <w:t xml:space="preserve"> </w:t>
      </w:r>
      <w:r w:rsidR="00F275CC">
        <w:t>bisphenol</w:t>
      </w:r>
      <w:r w:rsidR="00F275CC" w:rsidRPr="00432F22">
        <w:t xml:space="preserve"> </w:t>
      </w:r>
      <w:r w:rsidR="00713531" w:rsidRPr="00432F22">
        <w:t xml:space="preserve">derivatives </w:t>
      </w:r>
      <w:r w:rsidR="00B9314F" w:rsidRPr="00432F22">
        <w:t>may also present</w:t>
      </w:r>
      <w:r w:rsidR="00716837" w:rsidRPr="00432F22">
        <w:t xml:space="preserve"> risks </w:t>
      </w:r>
      <w:r w:rsidR="00180BCF" w:rsidRPr="00432F22">
        <w:t>similar to</w:t>
      </w:r>
      <w:r w:rsidR="006C2F19" w:rsidRPr="00432F22">
        <w:t xml:space="preserve"> BPA </w:t>
      </w:r>
      <w:r w:rsidR="00092621" w:rsidRPr="00432F22">
        <w:t>when they are used in food contact materials and articles and migrate into food</w:t>
      </w:r>
      <w:r w:rsidR="00716837" w:rsidRPr="00432F22">
        <w:t xml:space="preserve">. </w:t>
      </w:r>
      <w:r w:rsidR="00FA64B5" w:rsidRPr="00432F22">
        <w:t>Some</w:t>
      </w:r>
      <w:r w:rsidR="00355CAB" w:rsidRPr="00432F22">
        <w:t xml:space="preserve"> </w:t>
      </w:r>
      <w:r w:rsidR="00716837" w:rsidRPr="00432F22">
        <w:t xml:space="preserve">bisphenols </w:t>
      </w:r>
      <w:r w:rsidR="002648BC" w:rsidRPr="00432F22">
        <w:t xml:space="preserve">have </w:t>
      </w:r>
      <w:r w:rsidR="00FA64B5" w:rsidRPr="00432F22">
        <w:t xml:space="preserve">already </w:t>
      </w:r>
      <w:r w:rsidR="002648BC" w:rsidRPr="00432F22">
        <w:t xml:space="preserve">been </w:t>
      </w:r>
      <w:r w:rsidR="00BF40FD">
        <w:t>confirmed</w:t>
      </w:r>
      <w:r w:rsidR="00BF40FD" w:rsidRPr="00432F22">
        <w:t xml:space="preserve"> </w:t>
      </w:r>
      <w:r w:rsidR="002648BC" w:rsidRPr="00432F22">
        <w:t xml:space="preserve">as having properties </w:t>
      </w:r>
      <w:r w:rsidR="00D329BC">
        <w:t xml:space="preserve">that are </w:t>
      </w:r>
      <w:r w:rsidR="002648BC" w:rsidRPr="00432F22">
        <w:t>hazardous to</w:t>
      </w:r>
      <w:r w:rsidR="00716837" w:rsidRPr="00432F22">
        <w:t xml:space="preserve"> human health </w:t>
      </w:r>
      <w:r w:rsidR="002648BC" w:rsidRPr="00432F22">
        <w:t>due to their</w:t>
      </w:r>
      <w:r w:rsidR="00716837" w:rsidRPr="00432F22">
        <w:t xml:space="preserve"> reproductive toxicity </w:t>
      </w:r>
      <w:r w:rsidR="002648BC" w:rsidRPr="00432F22">
        <w:t>and have</w:t>
      </w:r>
      <w:r w:rsidR="00FC11D2">
        <w:t xml:space="preserve"> consequently</w:t>
      </w:r>
      <w:r w:rsidR="002648BC" w:rsidRPr="00432F22">
        <w:t xml:space="preserve"> been </w:t>
      </w:r>
      <w:r w:rsidR="002531F5">
        <w:t xml:space="preserve">subject to harmonised </w:t>
      </w:r>
      <w:r w:rsidR="002531F5" w:rsidRPr="00432F22">
        <w:t>classifi</w:t>
      </w:r>
      <w:r w:rsidR="002531F5">
        <w:t>cation</w:t>
      </w:r>
      <w:r w:rsidR="002531F5" w:rsidRPr="00432F22">
        <w:t xml:space="preserve"> </w:t>
      </w:r>
      <w:r w:rsidR="00361A2B">
        <w:t xml:space="preserve">and listed as such </w:t>
      </w:r>
      <w:r w:rsidR="00F7705F" w:rsidRPr="00432F22">
        <w:t>in accordance with Regulation (EC) No 127</w:t>
      </w:r>
      <w:r w:rsidR="00D329BC">
        <w:t>2</w:t>
      </w:r>
      <w:r w:rsidR="00F7705F" w:rsidRPr="00432F22">
        <w:t>/2008</w:t>
      </w:r>
      <w:r w:rsidR="006272E7" w:rsidRPr="00432F22">
        <w:t xml:space="preserve"> of the European Parliament and of the Council</w:t>
      </w:r>
      <w:r w:rsidR="003D1A8D" w:rsidRPr="00432F22">
        <w:rPr>
          <w:rStyle w:val="Voetnootmarkering"/>
        </w:rPr>
        <w:footnoteReference w:id="8"/>
      </w:r>
      <w:r w:rsidR="00FC11D2">
        <w:t>.</w:t>
      </w:r>
      <w:r w:rsidR="003D1A8D">
        <w:t xml:space="preserve"> </w:t>
      </w:r>
      <w:r w:rsidR="00FC11D2">
        <w:t xml:space="preserve">This </w:t>
      </w:r>
      <w:r w:rsidR="00EA5E0A">
        <w:t>includ</w:t>
      </w:r>
      <w:r w:rsidR="00FC11D2">
        <w:t>es</w:t>
      </w:r>
      <w:r w:rsidR="00EA5E0A">
        <w:t xml:space="preserve"> </w:t>
      </w:r>
      <w:r w:rsidR="00EA5E0A" w:rsidRPr="000A2FCF">
        <w:t>4,4</w:t>
      </w:r>
      <w:r w:rsidR="00EA5E0A">
        <w:t>’</w:t>
      </w:r>
      <w:r w:rsidR="00EA5E0A" w:rsidRPr="000A2FCF">
        <w:t>-sulphonyldiphenol</w:t>
      </w:r>
      <w:r w:rsidR="00EA5E0A">
        <w:t xml:space="preserve"> </w:t>
      </w:r>
      <w:r w:rsidR="00EA5E0A" w:rsidRPr="00432F22">
        <w:t>(CAS number 80-0</w:t>
      </w:r>
      <w:r w:rsidR="00EA5E0A">
        <w:t>9</w:t>
      </w:r>
      <w:r w:rsidR="00EA5E0A" w:rsidRPr="00432F22">
        <w:t>-</w:t>
      </w:r>
      <w:r w:rsidR="005E22B1">
        <w:t>1</w:t>
      </w:r>
      <w:r w:rsidR="00EA5E0A" w:rsidRPr="00432F22">
        <w:t xml:space="preserve">) (FCM </w:t>
      </w:r>
      <w:r w:rsidR="005E22B1" w:rsidRPr="00432F22">
        <w:t>15</w:t>
      </w:r>
      <w:r w:rsidR="005E22B1">
        <w:t>4</w:t>
      </w:r>
      <w:r w:rsidR="00EA5E0A" w:rsidRPr="00432F22">
        <w:t xml:space="preserve">), commonly known as bisphenol </w:t>
      </w:r>
      <w:r w:rsidR="00EA5E0A">
        <w:t>S</w:t>
      </w:r>
      <w:r w:rsidR="00EA5E0A" w:rsidRPr="00432F22">
        <w:t xml:space="preserve"> (</w:t>
      </w:r>
      <w:r w:rsidR="00EA5E0A">
        <w:t>‘</w:t>
      </w:r>
      <w:r w:rsidR="00EA5E0A" w:rsidRPr="00432F22">
        <w:t>BP</w:t>
      </w:r>
      <w:r w:rsidR="00EA5E0A">
        <w:t>S’</w:t>
      </w:r>
      <w:r w:rsidR="00EA5E0A" w:rsidRPr="00432F22">
        <w:t>)</w:t>
      </w:r>
      <w:r w:rsidR="00EA5E0A">
        <w:t xml:space="preserve">, </w:t>
      </w:r>
      <w:r w:rsidR="00234AA6">
        <w:t>which is currently authorised for use in plastic food contact materials and articles</w:t>
      </w:r>
      <w:r w:rsidR="00F275CC">
        <w:t>.</w:t>
      </w:r>
      <w:r w:rsidR="007B448C">
        <w:t xml:space="preserve"> </w:t>
      </w:r>
      <w:r w:rsidR="00F275CC">
        <w:t>T</w:t>
      </w:r>
      <w:r w:rsidR="007B448C">
        <w:t xml:space="preserve">he Authority issued a Technical Report </w:t>
      </w:r>
      <w:r w:rsidR="00F275CC">
        <w:t xml:space="preserve">on BPS </w:t>
      </w:r>
      <w:r w:rsidR="007B448C">
        <w:t>in 2020</w:t>
      </w:r>
      <w:r w:rsidR="00872BF4">
        <w:rPr>
          <w:rStyle w:val="Voetnootmarkering"/>
        </w:rPr>
        <w:footnoteReference w:id="9"/>
      </w:r>
      <w:r w:rsidR="00F275CC">
        <w:t xml:space="preserve">, which </w:t>
      </w:r>
      <w:r w:rsidR="007B448C">
        <w:t>did not take into consideration the full toxicological dataset available for BPS</w:t>
      </w:r>
      <w:r w:rsidR="00F275CC">
        <w:t>, whereas</w:t>
      </w:r>
      <w:r w:rsidR="007B448C">
        <w:t xml:space="preserve"> the Authority recommended collection of data on the use of BPS in plastic </w:t>
      </w:r>
      <w:r w:rsidR="00F34743">
        <w:t xml:space="preserve">food contact materials and articles </w:t>
      </w:r>
      <w:r w:rsidR="007B448C">
        <w:t>and on its occurrence and migration into food in the context of its possible use as an alternative to BPA</w:t>
      </w:r>
      <w:r w:rsidR="00F275CC">
        <w:t>. This</w:t>
      </w:r>
      <w:r w:rsidR="007B448C">
        <w:t xml:space="preserve"> </w:t>
      </w:r>
      <w:r w:rsidR="00892562">
        <w:t xml:space="preserve">alone </w:t>
      </w:r>
      <w:r w:rsidR="007B448C">
        <w:t xml:space="preserve">supports the need to </w:t>
      </w:r>
      <w:r w:rsidR="00F275CC">
        <w:t>update the assessment of the use of BPS in</w:t>
      </w:r>
      <w:r w:rsidR="007B448C">
        <w:t xml:space="preserve"> food contact materials and articles</w:t>
      </w:r>
      <w:r w:rsidR="00F275CC">
        <w:t>, in particular in light of its harmonised classification as toxic to reproduction</w:t>
      </w:r>
      <w:r w:rsidR="00F34743">
        <w:t xml:space="preserve"> category 1B</w:t>
      </w:r>
      <w:r w:rsidR="00F275CC">
        <w:t xml:space="preserve">. </w:t>
      </w:r>
      <w:r w:rsidR="00951B34" w:rsidRPr="00432F22">
        <w:t>Further harmonised classification</w:t>
      </w:r>
      <w:r w:rsidR="006272E7" w:rsidRPr="00432F22">
        <w:t xml:space="preserve"> of bisphenols and </w:t>
      </w:r>
      <w:r w:rsidR="002D1936">
        <w:t>bisphenol</w:t>
      </w:r>
      <w:r w:rsidR="006272E7" w:rsidRPr="00432F22">
        <w:t xml:space="preserve"> derivatives</w:t>
      </w:r>
      <w:r w:rsidR="00951B34" w:rsidRPr="00432F22">
        <w:t xml:space="preserve"> is likely </w:t>
      </w:r>
      <w:r w:rsidR="000E0557" w:rsidRPr="00432F22">
        <w:t>in the future</w:t>
      </w:r>
      <w:r w:rsidR="003C0AC5" w:rsidRPr="00432F22">
        <w:t>,</w:t>
      </w:r>
      <w:r w:rsidR="000E0557" w:rsidRPr="00432F22">
        <w:t xml:space="preserve"> </w:t>
      </w:r>
      <w:r w:rsidR="00951B34" w:rsidRPr="00432F22">
        <w:t xml:space="preserve">following </w:t>
      </w:r>
      <w:r w:rsidR="006272E7" w:rsidRPr="00432F22">
        <w:t>the identification of some of them</w:t>
      </w:r>
      <w:r w:rsidR="00951B34" w:rsidRPr="00432F22">
        <w:t xml:space="preserve"> as substances of very high concern under Regulation (EC) No 1907/2006</w:t>
      </w:r>
      <w:r w:rsidR="006272E7" w:rsidRPr="00432F22">
        <w:t xml:space="preserve"> of the European Parliament and of the Council</w:t>
      </w:r>
      <w:r w:rsidR="000E0557" w:rsidRPr="00432F22">
        <w:rPr>
          <w:rStyle w:val="Voetnootmarkering"/>
        </w:rPr>
        <w:footnoteReference w:id="10"/>
      </w:r>
      <w:r w:rsidR="00951B34" w:rsidRPr="00432F22">
        <w:t xml:space="preserve"> and the introduction of new hazard classes for endocrine disruptors</w:t>
      </w:r>
      <w:r w:rsidR="006272E7" w:rsidRPr="00432F22">
        <w:t xml:space="preserve"> by</w:t>
      </w:r>
      <w:r w:rsidR="00951B34" w:rsidRPr="00432F22">
        <w:t xml:space="preserve"> </w:t>
      </w:r>
      <w:r w:rsidR="006272E7" w:rsidRPr="00432F22">
        <w:t xml:space="preserve">Commission Delegated </w:t>
      </w:r>
      <w:r w:rsidR="00951B34" w:rsidRPr="00432F22">
        <w:t>Regulation (E</w:t>
      </w:r>
      <w:r w:rsidR="006272E7" w:rsidRPr="00432F22">
        <w:t>U</w:t>
      </w:r>
      <w:r w:rsidR="00951B34" w:rsidRPr="00432F22">
        <w:t xml:space="preserve">) </w:t>
      </w:r>
      <w:r w:rsidR="006272E7" w:rsidRPr="00432F22">
        <w:t>2023</w:t>
      </w:r>
      <w:r w:rsidR="00951B34" w:rsidRPr="00432F22">
        <w:t>/</w:t>
      </w:r>
      <w:r w:rsidR="006272E7" w:rsidRPr="00432F22">
        <w:t>707</w:t>
      </w:r>
      <w:r w:rsidR="000E0557" w:rsidRPr="00432F22">
        <w:rPr>
          <w:rStyle w:val="Voetnootmarkering"/>
        </w:rPr>
        <w:footnoteReference w:id="11"/>
      </w:r>
      <w:r w:rsidR="00951B34" w:rsidRPr="00432F22">
        <w:t xml:space="preserve">. </w:t>
      </w:r>
      <w:r w:rsidR="00716837" w:rsidRPr="00432F22">
        <w:t xml:space="preserve">It is therefore appropriate to </w:t>
      </w:r>
      <w:r w:rsidR="00716837" w:rsidRPr="00432F22">
        <w:lastRenderedPageBreak/>
        <w:t xml:space="preserve">ensure that </w:t>
      </w:r>
      <w:r w:rsidR="000B4ACD" w:rsidRPr="00432F22">
        <w:t xml:space="preserve">the use </w:t>
      </w:r>
      <w:r w:rsidR="001B0278" w:rsidRPr="00432F22">
        <w:t>in the manufacture of food contact materials and articles</w:t>
      </w:r>
      <w:r w:rsidR="001B0278">
        <w:t xml:space="preserve">, </w:t>
      </w:r>
      <w:r w:rsidR="000B4ACD" w:rsidRPr="00432F22">
        <w:t xml:space="preserve">of </w:t>
      </w:r>
      <w:r w:rsidR="00716837" w:rsidRPr="00432F22">
        <w:t>bisphenols</w:t>
      </w:r>
      <w:r w:rsidR="00355CAB" w:rsidRPr="00432F22">
        <w:t xml:space="preserve"> </w:t>
      </w:r>
      <w:r w:rsidR="000A136D">
        <w:t>or</w:t>
      </w:r>
      <w:r w:rsidR="000A136D" w:rsidRPr="00432F22">
        <w:t xml:space="preserve"> </w:t>
      </w:r>
      <w:r w:rsidR="00CE3FA7">
        <w:t>bisphenol</w:t>
      </w:r>
      <w:r w:rsidR="00CE3FA7" w:rsidRPr="00432F22">
        <w:t xml:space="preserve"> </w:t>
      </w:r>
      <w:r w:rsidR="00713531" w:rsidRPr="00432F22">
        <w:t xml:space="preserve">derivatives </w:t>
      </w:r>
      <w:r w:rsidR="003D1A8D">
        <w:t xml:space="preserve">with </w:t>
      </w:r>
      <w:r w:rsidR="001B0278">
        <w:t xml:space="preserve">a </w:t>
      </w:r>
      <w:r w:rsidR="00FC11D2">
        <w:t>specific</w:t>
      </w:r>
      <w:r w:rsidR="003D1A8D">
        <w:t xml:space="preserve"> harmonised classification</w:t>
      </w:r>
      <w:r w:rsidR="001804E3">
        <w:t xml:space="preserve">, </w:t>
      </w:r>
      <w:r w:rsidR="002D1936">
        <w:t>including</w:t>
      </w:r>
      <w:r w:rsidR="001804E3">
        <w:t xml:space="preserve"> the salts of these substances, </w:t>
      </w:r>
      <w:r w:rsidR="008C6AA6" w:rsidRPr="00432F22">
        <w:t>is not permitted</w:t>
      </w:r>
      <w:r w:rsidR="00BA1D30">
        <w:t xml:space="preserve"> </w:t>
      </w:r>
      <w:r w:rsidR="00FA64B5" w:rsidRPr="00432F22">
        <w:t xml:space="preserve">without </w:t>
      </w:r>
      <w:r w:rsidR="003D1A8D">
        <w:t>a</w:t>
      </w:r>
      <w:r w:rsidR="00FD38F5">
        <w:t>n</w:t>
      </w:r>
      <w:r w:rsidR="003D1A8D">
        <w:t xml:space="preserve"> up-to-date</w:t>
      </w:r>
      <w:r w:rsidR="00182BB3">
        <w:t xml:space="preserve"> </w:t>
      </w:r>
      <w:r w:rsidR="003D1A8D" w:rsidRPr="00432F22">
        <w:t>assess</w:t>
      </w:r>
      <w:r w:rsidR="003D1A8D">
        <w:t>ment</w:t>
      </w:r>
      <w:r w:rsidR="00B07876">
        <w:t xml:space="preserve"> </w:t>
      </w:r>
      <w:r w:rsidR="00182BB3">
        <w:t xml:space="preserve">by the Authority, </w:t>
      </w:r>
      <w:r w:rsidR="00B07876">
        <w:t xml:space="preserve">showing that </w:t>
      </w:r>
      <w:r w:rsidR="00BF40FD">
        <w:t>their</w:t>
      </w:r>
      <w:r w:rsidR="00B07876">
        <w:t xml:space="preserve"> use </w:t>
      </w:r>
      <w:r w:rsidR="00B07876" w:rsidRPr="00432F22">
        <w:t>does not endanger human health</w:t>
      </w:r>
      <w:r w:rsidR="00271A57">
        <w:t>.</w:t>
      </w:r>
      <w:r w:rsidR="00C51CFE" w:rsidRPr="00432F22">
        <w:t xml:space="preserve"> </w:t>
      </w:r>
    </w:p>
    <w:p w14:paraId="6B323F3C" w14:textId="0E35D23D" w:rsidR="003C7F43" w:rsidRDefault="00182BB3" w:rsidP="003C7F43">
      <w:pPr>
        <w:pStyle w:val="Considrant"/>
      </w:pPr>
      <w:r>
        <w:t xml:space="preserve">Since </w:t>
      </w:r>
      <w:r w:rsidR="000A136D">
        <w:t xml:space="preserve">such hazardous bisphenols or </w:t>
      </w:r>
      <w:r w:rsidR="00A01E3C">
        <w:t xml:space="preserve">hazardous bisphenol </w:t>
      </w:r>
      <w:r w:rsidR="000A136D">
        <w:t xml:space="preserve">derivatives </w:t>
      </w:r>
      <w:r>
        <w:t xml:space="preserve">may be </w:t>
      </w:r>
      <w:r w:rsidR="000A136D">
        <w:t xml:space="preserve">necessary </w:t>
      </w:r>
      <w:r w:rsidR="008815B4">
        <w:t xml:space="preserve">or critical </w:t>
      </w:r>
      <w:r w:rsidR="000A136D">
        <w:t>in the manufacture of food contact materials and articles</w:t>
      </w:r>
      <w:r w:rsidR="00BF40FD">
        <w:t xml:space="preserve"> </w:t>
      </w:r>
      <w:r w:rsidR="00204744">
        <w:t>for a specific application where</w:t>
      </w:r>
      <w:r w:rsidR="00BF40FD">
        <w:t xml:space="preserve"> suitable alternatives do not exist</w:t>
      </w:r>
      <w:r w:rsidR="000A136D">
        <w:t>, b</w:t>
      </w:r>
      <w:r w:rsidR="005300DF" w:rsidRPr="00432F22">
        <w:t xml:space="preserve">usiness operators should be given </w:t>
      </w:r>
      <w:r w:rsidR="000A136D">
        <w:t>the possibility</w:t>
      </w:r>
      <w:r w:rsidR="000A136D" w:rsidRPr="00432F22">
        <w:t xml:space="preserve"> </w:t>
      </w:r>
      <w:r w:rsidR="005300DF" w:rsidRPr="00432F22">
        <w:t xml:space="preserve">to apply for </w:t>
      </w:r>
      <w:r w:rsidR="00C75EF8">
        <w:t>authorisation to</w:t>
      </w:r>
      <w:r w:rsidR="000A136D">
        <w:t xml:space="preserve"> use the </w:t>
      </w:r>
      <w:r w:rsidR="00C75EF8">
        <w:t xml:space="preserve">respective </w:t>
      </w:r>
      <w:r w:rsidR="000A136D">
        <w:t xml:space="preserve">hazardous bisphenol or </w:t>
      </w:r>
      <w:r w:rsidR="00204744">
        <w:t xml:space="preserve">bisphenol </w:t>
      </w:r>
      <w:r w:rsidR="000A136D">
        <w:t xml:space="preserve">derivative in the manufacture of </w:t>
      </w:r>
      <w:r w:rsidR="00FA64B5" w:rsidRPr="00432F22">
        <w:t xml:space="preserve">food contact </w:t>
      </w:r>
      <w:r w:rsidR="00204744">
        <w:t xml:space="preserve">materials and </w:t>
      </w:r>
      <w:r w:rsidR="000A136D">
        <w:t>article</w:t>
      </w:r>
      <w:r w:rsidR="002D1936">
        <w:t>s</w:t>
      </w:r>
      <w:r w:rsidR="000A136D">
        <w:t xml:space="preserve"> </w:t>
      </w:r>
      <w:r w:rsidR="00EA20BB">
        <w:t>f</w:t>
      </w:r>
      <w:r w:rsidR="000A136D">
        <w:t xml:space="preserve">or </w:t>
      </w:r>
      <w:r w:rsidR="00EA20BB">
        <w:t>a specific</w:t>
      </w:r>
      <w:r w:rsidR="00EA20BB" w:rsidRPr="00432F22">
        <w:t xml:space="preserve"> </w:t>
      </w:r>
      <w:r w:rsidR="00FA64B5" w:rsidRPr="00432F22">
        <w:t>application</w:t>
      </w:r>
      <w:r w:rsidR="009D515B">
        <w:t xml:space="preserve">. </w:t>
      </w:r>
      <w:r w:rsidR="003C7F43">
        <w:t xml:space="preserve">Applications </w:t>
      </w:r>
      <w:r w:rsidR="003C7F43" w:rsidRPr="000177D3">
        <w:t xml:space="preserve">for authorisation of such hazardous bisphenols or </w:t>
      </w:r>
      <w:r w:rsidR="00A01E3C">
        <w:t xml:space="preserve">hazardous bisphenol </w:t>
      </w:r>
      <w:r w:rsidR="003C7F43" w:rsidRPr="000177D3">
        <w:t>derivatives should be submitted</w:t>
      </w:r>
      <w:r w:rsidR="003C7F43">
        <w:t xml:space="preserve"> in accordance with the procedures laid down in Regulation (EC) No 1935/2004 concerning authorisation of substances. Provided that such an application is made within a reasonable timeframe, food contact materials and articles manufactured using </w:t>
      </w:r>
      <w:r w:rsidR="002D1936">
        <w:t>a</w:t>
      </w:r>
      <w:r w:rsidR="003C7F43">
        <w:t xml:space="preserve"> hazardous bisphenol or bisphenol derivative </w:t>
      </w:r>
      <w:r w:rsidR="001B0278">
        <w:t xml:space="preserve">and already on the market </w:t>
      </w:r>
      <w:r w:rsidR="003C7F43">
        <w:t xml:space="preserve">should be allowed to continue to be placed on the market until the Commission has taken a decision on the application. </w:t>
      </w:r>
    </w:p>
    <w:p w14:paraId="01B0CE92" w14:textId="2EB0B51F" w:rsidR="003C7F43" w:rsidRDefault="008815B4" w:rsidP="005720CF">
      <w:pPr>
        <w:pStyle w:val="Considrant"/>
      </w:pPr>
      <w:r>
        <w:t xml:space="preserve">Whilst guidelines concerning the preparation and the submission of an application for the authorisation of a substance in the manufacture of food contact materials and articles exist, </w:t>
      </w:r>
      <w:r w:rsidR="00545D46">
        <w:t xml:space="preserve">in particular as regards plastic food contact materials and articles, </w:t>
      </w:r>
      <w:r>
        <w:t xml:space="preserve">these may need to be updated or supplemented, in accordance with the </w:t>
      </w:r>
      <w:r w:rsidR="00BF40FD">
        <w:t xml:space="preserve">latest scientific developments and </w:t>
      </w:r>
      <w:r>
        <w:t xml:space="preserve">requirements of the Authority, specifically for the assessment of hazardous bisphenols </w:t>
      </w:r>
      <w:r w:rsidR="00A01E3C">
        <w:t>or</w:t>
      </w:r>
      <w:r>
        <w:t xml:space="preserve"> </w:t>
      </w:r>
      <w:r w:rsidR="00A01E3C">
        <w:t xml:space="preserve">hazardous bisphenol </w:t>
      </w:r>
      <w:r>
        <w:t>derivatives</w:t>
      </w:r>
      <w:r w:rsidR="00545D46">
        <w:t>, including their use in materials other than plastic</w:t>
      </w:r>
      <w:r w:rsidR="000A136D">
        <w:t xml:space="preserve">. In </w:t>
      </w:r>
      <w:r w:rsidR="00C935F9">
        <w:t>line with the Commission’s ‘one substance, one assessment’ initiative</w:t>
      </w:r>
      <w:r w:rsidR="000A136D">
        <w:t xml:space="preserve">, the Authority </w:t>
      </w:r>
      <w:r w:rsidR="002D1936">
        <w:t xml:space="preserve">and </w:t>
      </w:r>
      <w:r>
        <w:t xml:space="preserve">the European Chemicals Agency </w:t>
      </w:r>
      <w:r w:rsidR="002D1936">
        <w:t>should work in collaboration</w:t>
      </w:r>
      <w:r>
        <w:t xml:space="preserve">, </w:t>
      </w:r>
      <w:r w:rsidR="002D1936">
        <w:t>since the latter</w:t>
      </w:r>
      <w:r>
        <w:t xml:space="preserve"> </w:t>
      </w:r>
      <w:r w:rsidR="00C935F9">
        <w:t xml:space="preserve">is already </w:t>
      </w:r>
      <w:r w:rsidR="00B123AB">
        <w:t xml:space="preserve">in the process of assessing the safety of bisphenols and their derivatives. </w:t>
      </w:r>
      <w:r w:rsidR="00C935F9">
        <w:t>In order to support this work</w:t>
      </w:r>
      <w:r w:rsidR="00B123AB">
        <w:t xml:space="preserve">, business operators who rely on the </w:t>
      </w:r>
      <w:r w:rsidR="00BF40FD">
        <w:t xml:space="preserve">use of a </w:t>
      </w:r>
      <w:r w:rsidR="00B123AB">
        <w:t xml:space="preserve">hazardous bisphenol or </w:t>
      </w:r>
      <w:r w:rsidR="00C935F9">
        <w:t>a hazardous bisphenol</w:t>
      </w:r>
      <w:r w:rsidR="00B123AB">
        <w:t xml:space="preserve"> derivative to manufacture their food contact materials and articles should submit </w:t>
      </w:r>
      <w:r w:rsidR="000A136D">
        <w:t xml:space="preserve">information </w:t>
      </w:r>
      <w:r w:rsidR="00BF40FD">
        <w:t xml:space="preserve">to the Authority </w:t>
      </w:r>
      <w:r w:rsidR="00B123AB">
        <w:t xml:space="preserve">if required, </w:t>
      </w:r>
      <w:r w:rsidR="000A136D">
        <w:t xml:space="preserve">on the current use of </w:t>
      </w:r>
      <w:r w:rsidR="00BF40FD">
        <w:t xml:space="preserve">those </w:t>
      </w:r>
      <w:r w:rsidR="000A136D">
        <w:t xml:space="preserve">bisphenols and </w:t>
      </w:r>
      <w:r w:rsidR="003C7F43">
        <w:t xml:space="preserve">bisphenol </w:t>
      </w:r>
      <w:r w:rsidR="000A136D">
        <w:t xml:space="preserve">derivatives. </w:t>
      </w:r>
    </w:p>
    <w:p w14:paraId="76F16E8F" w14:textId="2E255059" w:rsidR="003D7853" w:rsidRPr="003D7853" w:rsidRDefault="00A23D66" w:rsidP="00A23D66">
      <w:pPr>
        <w:pStyle w:val="Considrant"/>
      </w:pPr>
      <w:r>
        <w:t xml:space="preserve">Although the continued use of BPA to manufacture </w:t>
      </w:r>
      <w:r w:rsidR="00ED1493">
        <w:t>a very limited number of</w:t>
      </w:r>
      <w:r>
        <w:t xml:space="preserve"> </w:t>
      </w:r>
      <w:r w:rsidR="00BF40FD">
        <w:t xml:space="preserve">food contact </w:t>
      </w:r>
      <w:r w:rsidR="00114CBA">
        <w:t xml:space="preserve">materials and </w:t>
      </w:r>
      <w:r w:rsidR="00BF40FD">
        <w:t xml:space="preserve">articles for </w:t>
      </w:r>
      <w:r>
        <w:t xml:space="preserve">specific applications is currently justified and does not present an unacceptable risk, the aim in the long term should be to </w:t>
      </w:r>
      <w:r w:rsidR="00202879">
        <w:t>replace BPA</w:t>
      </w:r>
      <w:r w:rsidR="00BF40FD">
        <w:t xml:space="preserve"> altogether</w:t>
      </w:r>
      <w:r w:rsidR="00F2189C">
        <w:t>,</w:t>
      </w:r>
      <w:r w:rsidR="00202879">
        <w:t xml:space="preserve"> </w:t>
      </w:r>
      <w:r w:rsidR="008B245B">
        <w:t>as well as</w:t>
      </w:r>
      <w:r w:rsidR="00202879">
        <w:t xml:space="preserve"> other bisphenols and their derivatives with specific </w:t>
      </w:r>
      <w:r w:rsidR="00202879" w:rsidRPr="00432F22">
        <w:t xml:space="preserve">properties </w:t>
      </w:r>
      <w:r w:rsidR="00202879">
        <w:t xml:space="preserve">that are </w:t>
      </w:r>
      <w:r w:rsidR="00ED1493">
        <w:t xml:space="preserve">particularly </w:t>
      </w:r>
      <w:r w:rsidR="00202879" w:rsidRPr="00432F22">
        <w:t>hazardous to human health</w:t>
      </w:r>
      <w:r w:rsidR="008B245B">
        <w:t>,</w:t>
      </w:r>
      <w:r w:rsidR="00202879" w:rsidRPr="00432F22">
        <w:t xml:space="preserve"> </w:t>
      </w:r>
      <w:r w:rsidR="008B245B">
        <w:t>with alternatives</w:t>
      </w:r>
      <w:r w:rsidR="008B66C2">
        <w:t xml:space="preserve"> that do not have such properties</w:t>
      </w:r>
      <w:r w:rsidR="00FB0811">
        <w:t>.</w:t>
      </w:r>
      <w:r w:rsidR="008B245B">
        <w:t xml:space="preserve"> In order to promote </w:t>
      </w:r>
      <w:r w:rsidR="00D9651C">
        <w:t>this</w:t>
      </w:r>
      <w:r w:rsidR="008B245B">
        <w:t xml:space="preserve"> </w:t>
      </w:r>
      <w:r w:rsidR="00FB0811">
        <w:t xml:space="preserve">and </w:t>
      </w:r>
      <w:r w:rsidR="00FB0811">
        <w:rPr>
          <w:szCs w:val="24"/>
          <w:lang w:val="en-IE"/>
        </w:rPr>
        <w:t>enable the Commission to evaluate the continued need for derogations laid down by this Regulation</w:t>
      </w:r>
      <w:r w:rsidR="00FB0811">
        <w:t xml:space="preserve">, </w:t>
      </w:r>
      <w:r w:rsidR="008B245B">
        <w:t xml:space="preserve">it is appropriate to </w:t>
      </w:r>
      <w:r w:rsidR="00237A8D">
        <w:t xml:space="preserve">require the producers of the relevant </w:t>
      </w:r>
      <w:r w:rsidR="00ED1493">
        <w:t xml:space="preserve">food contact </w:t>
      </w:r>
      <w:r w:rsidR="00114CBA">
        <w:t xml:space="preserve">materials and </w:t>
      </w:r>
      <w:r w:rsidR="00D9651C">
        <w:t xml:space="preserve">articles </w:t>
      </w:r>
      <w:r w:rsidR="00BF40FD">
        <w:t xml:space="preserve">using BPA or </w:t>
      </w:r>
      <w:r w:rsidR="00E95B97">
        <w:t>another</w:t>
      </w:r>
      <w:r w:rsidR="00BF40FD">
        <w:t xml:space="preserve"> hazardous bisphenol or </w:t>
      </w:r>
      <w:r w:rsidR="00E95B97">
        <w:t xml:space="preserve">bisphenol </w:t>
      </w:r>
      <w:r w:rsidR="00BF40FD">
        <w:t>derivative</w:t>
      </w:r>
      <w:r w:rsidR="00114CBA">
        <w:t>s</w:t>
      </w:r>
      <w:r w:rsidR="00237A8D">
        <w:t xml:space="preserve"> to report on </w:t>
      </w:r>
      <w:r w:rsidR="00347E67">
        <w:t xml:space="preserve">the status of </w:t>
      </w:r>
      <w:r w:rsidR="00237A8D">
        <w:t>developments of alternative solutions</w:t>
      </w:r>
      <w:r w:rsidR="00237A8D">
        <w:rPr>
          <w:szCs w:val="24"/>
          <w:lang w:val="en-IE"/>
        </w:rPr>
        <w:t>.</w:t>
      </w:r>
      <w:r w:rsidR="002870B2">
        <w:rPr>
          <w:szCs w:val="24"/>
          <w:lang w:val="en-IE"/>
        </w:rPr>
        <w:t xml:space="preserve"> </w:t>
      </w:r>
      <w:r w:rsidR="00B123AB">
        <w:rPr>
          <w:szCs w:val="24"/>
          <w:lang w:val="en-IE"/>
        </w:rPr>
        <w:t>However, t</w:t>
      </w:r>
      <w:r w:rsidR="002870B2">
        <w:rPr>
          <w:szCs w:val="24"/>
          <w:lang w:val="en-IE"/>
        </w:rPr>
        <w:t>aking into account the need to</w:t>
      </w:r>
      <w:r w:rsidR="00237A8D">
        <w:rPr>
          <w:szCs w:val="24"/>
          <w:lang w:val="en-IE"/>
        </w:rPr>
        <w:t xml:space="preserve"> </w:t>
      </w:r>
      <w:r w:rsidR="00FB0811">
        <w:rPr>
          <w:szCs w:val="24"/>
          <w:lang w:val="en-IE"/>
        </w:rPr>
        <w:t>minimise</w:t>
      </w:r>
      <w:r w:rsidR="002870B2">
        <w:rPr>
          <w:szCs w:val="24"/>
          <w:lang w:val="en-IE"/>
        </w:rPr>
        <w:t xml:space="preserve"> regulatory burden on small and medium-sized businesses</w:t>
      </w:r>
      <w:r w:rsidR="00114CBA">
        <w:rPr>
          <w:szCs w:val="24"/>
          <w:lang w:val="en-IE"/>
        </w:rPr>
        <w:t xml:space="preserve"> (‘SMEs’)</w:t>
      </w:r>
      <w:r w:rsidR="002870B2">
        <w:rPr>
          <w:szCs w:val="24"/>
          <w:lang w:val="en-IE"/>
        </w:rPr>
        <w:t xml:space="preserve">, it is appropriate </w:t>
      </w:r>
      <w:r w:rsidR="00E64DF0">
        <w:rPr>
          <w:szCs w:val="24"/>
          <w:lang w:val="en-IE"/>
        </w:rPr>
        <w:t>that</w:t>
      </w:r>
      <w:r w:rsidR="002870B2">
        <w:rPr>
          <w:szCs w:val="24"/>
          <w:lang w:val="en-IE"/>
        </w:rPr>
        <w:t xml:space="preserve"> this requirement </w:t>
      </w:r>
      <w:r w:rsidR="00E64DF0">
        <w:rPr>
          <w:szCs w:val="24"/>
          <w:lang w:val="en-IE"/>
        </w:rPr>
        <w:t>applies to</w:t>
      </w:r>
      <w:r w:rsidR="002870B2">
        <w:rPr>
          <w:szCs w:val="24"/>
          <w:lang w:val="en-IE"/>
        </w:rPr>
        <w:t xml:space="preserve"> large businesses</w:t>
      </w:r>
      <w:r w:rsidR="00FB0811">
        <w:rPr>
          <w:szCs w:val="24"/>
          <w:lang w:val="en-IE"/>
        </w:rPr>
        <w:t>,</w:t>
      </w:r>
      <w:r w:rsidR="002870B2">
        <w:rPr>
          <w:szCs w:val="24"/>
          <w:lang w:val="en-IE"/>
        </w:rPr>
        <w:t xml:space="preserve"> </w:t>
      </w:r>
      <w:r w:rsidR="00E64DF0">
        <w:rPr>
          <w:szCs w:val="24"/>
          <w:lang w:val="en-IE"/>
        </w:rPr>
        <w:t>disposing of</w:t>
      </w:r>
      <w:r w:rsidR="002870B2">
        <w:rPr>
          <w:szCs w:val="24"/>
          <w:lang w:val="en-IE"/>
        </w:rPr>
        <w:t xml:space="preserve"> greater capacity and resources </w:t>
      </w:r>
      <w:r w:rsidR="00ED1493">
        <w:rPr>
          <w:szCs w:val="24"/>
          <w:lang w:val="en-IE"/>
        </w:rPr>
        <w:t xml:space="preserve">to </w:t>
      </w:r>
      <w:r w:rsidR="00E64DF0">
        <w:rPr>
          <w:szCs w:val="24"/>
          <w:lang w:val="en-IE"/>
        </w:rPr>
        <w:t>develop and introduce</w:t>
      </w:r>
      <w:r w:rsidR="002870B2">
        <w:rPr>
          <w:szCs w:val="24"/>
          <w:lang w:val="en-IE"/>
        </w:rPr>
        <w:t xml:space="preserve"> alternatives. </w:t>
      </w:r>
    </w:p>
    <w:p w14:paraId="272B54A5" w14:textId="77777777" w:rsidR="00C27568" w:rsidRPr="00432F22" w:rsidRDefault="00FB0811" w:rsidP="00C27568">
      <w:pPr>
        <w:pStyle w:val="Considrant"/>
      </w:pPr>
      <w:r>
        <w:t xml:space="preserve">For reasons of consistency, </w:t>
      </w:r>
      <w:r w:rsidR="00E64DF0">
        <w:t xml:space="preserve">the </w:t>
      </w:r>
      <w:r>
        <w:t>r</w:t>
      </w:r>
      <w:r w:rsidR="00C27568">
        <w:t xml:space="preserve">ules </w:t>
      </w:r>
      <w:r w:rsidR="00E64DF0">
        <w:t>on</w:t>
      </w:r>
      <w:r w:rsidR="00C27568" w:rsidRPr="002C78BD">
        <w:t xml:space="preserve"> checking compliance</w:t>
      </w:r>
      <w:r w:rsidR="009155CE">
        <w:t xml:space="preserve"> </w:t>
      </w:r>
      <w:r w:rsidR="00E64DF0">
        <w:t>including rules on the use of food simulants and testing conditions, as well as</w:t>
      </w:r>
      <w:r w:rsidR="009155CE">
        <w:t xml:space="preserve"> </w:t>
      </w:r>
      <w:r w:rsidR="00B123AB">
        <w:t xml:space="preserve">on </w:t>
      </w:r>
      <w:r w:rsidR="009155CE">
        <w:t>expression of test results</w:t>
      </w:r>
      <w:r w:rsidR="00C27568" w:rsidRPr="002C78BD">
        <w:t xml:space="preserve"> should be </w:t>
      </w:r>
      <w:r w:rsidR="00C27568">
        <w:t>in line</w:t>
      </w:r>
      <w:r w:rsidR="00C27568" w:rsidRPr="002C78BD">
        <w:t xml:space="preserve"> with those laid down in Regulation (EU) No 10/2011</w:t>
      </w:r>
      <w:r w:rsidR="00E00164">
        <w:t xml:space="preserve"> </w:t>
      </w:r>
      <w:r w:rsidR="00E95B97">
        <w:t xml:space="preserve">for </w:t>
      </w:r>
      <w:r w:rsidR="00E00164">
        <w:t>plastic food contact materials and articles</w:t>
      </w:r>
      <w:r w:rsidR="0071468E">
        <w:t xml:space="preserve">. </w:t>
      </w:r>
      <w:r w:rsidR="00E64DF0">
        <w:t>T</w:t>
      </w:r>
      <w:r>
        <w:t>he choice of a</w:t>
      </w:r>
      <w:r w:rsidR="00C27568">
        <w:t xml:space="preserve">nalytical methods to </w:t>
      </w:r>
      <w:r w:rsidR="00E00164">
        <w:t xml:space="preserve">confirm the absence of migration of BPA or other </w:t>
      </w:r>
      <w:r w:rsidR="00E95B97">
        <w:t xml:space="preserve">hazardous </w:t>
      </w:r>
      <w:r w:rsidR="00E00164">
        <w:t xml:space="preserve">bisphenols or </w:t>
      </w:r>
      <w:r w:rsidR="00A01E3C">
        <w:t xml:space="preserve">hazardous bisphenol </w:t>
      </w:r>
      <w:r w:rsidR="00E00164">
        <w:t xml:space="preserve">derivatives </w:t>
      </w:r>
      <w:r w:rsidR="00E64DF0">
        <w:t>should be</w:t>
      </w:r>
      <w:r w:rsidR="00E00164">
        <w:t xml:space="preserve"> in accordance with the</w:t>
      </w:r>
      <w:r w:rsidR="00E95B97">
        <w:t xml:space="preserve"> Union</w:t>
      </w:r>
      <w:r w:rsidR="00E00164">
        <w:t xml:space="preserve"> requirements concerning official controls. </w:t>
      </w:r>
      <w:r w:rsidR="001B0278">
        <w:t xml:space="preserve">However, </w:t>
      </w:r>
      <w:r w:rsidR="001B0278">
        <w:rPr>
          <w:lang w:val="en-IE"/>
        </w:rPr>
        <w:t>m</w:t>
      </w:r>
      <w:r w:rsidR="00CE3FA7">
        <w:rPr>
          <w:lang w:val="en-IE"/>
        </w:rPr>
        <w:t xml:space="preserve">ethods for the determination of the absence of these substances in </w:t>
      </w:r>
      <w:r w:rsidR="00E95B97">
        <w:rPr>
          <w:lang w:val="en-IE"/>
        </w:rPr>
        <w:t xml:space="preserve">food </w:t>
      </w:r>
      <w:r w:rsidR="00E95B97">
        <w:rPr>
          <w:lang w:val="en-IE"/>
        </w:rPr>
        <w:lastRenderedPageBreak/>
        <w:t xml:space="preserve">contact </w:t>
      </w:r>
      <w:r w:rsidR="00CE3FA7">
        <w:rPr>
          <w:lang w:val="en-IE"/>
        </w:rPr>
        <w:t xml:space="preserve">materials </w:t>
      </w:r>
      <w:r w:rsidR="00E95B97">
        <w:rPr>
          <w:lang w:val="en-IE"/>
        </w:rPr>
        <w:t xml:space="preserve">and articles </w:t>
      </w:r>
      <w:r w:rsidR="00CE3FA7">
        <w:rPr>
          <w:lang w:val="en-IE"/>
        </w:rPr>
        <w:t xml:space="preserve">that can already be uniformly applied throughout the Union may not exist. Therefore, </w:t>
      </w:r>
      <w:r w:rsidR="00E95B97">
        <w:rPr>
          <w:lang w:val="en-IE"/>
        </w:rPr>
        <w:t>after</w:t>
      </w:r>
      <w:r w:rsidR="00CE3FA7">
        <w:rPr>
          <w:lang w:val="en-IE"/>
        </w:rPr>
        <w:t xml:space="preserve"> consultation with the National Reference Laboratories and relevant stakeholders</w:t>
      </w:r>
      <w:r w:rsidR="00E95B97">
        <w:rPr>
          <w:lang w:val="en-IE"/>
        </w:rPr>
        <w:t>,</w:t>
      </w:r>
      <w:r w:rsidR="00CE3FA7">
        <w:rPr>
          <w:lang w:val="en-IE"/>
        </w:rPr>
        <w:t xml:space="preserve"> </w:t>
      </w:r>
      <w:r w:rsidR="00E95B97">
        <w:rPr>
          <w:lang w:val="en-IE"/>
        </w:rPr>
        <w:t xml:space="preserve">it may be necessary to request that </w:t>
      </w:r>
      <w:r w:rsidR="00CE3FA7">
        <w:rPr>
          <w:lang w:val="en-IE"/>
        </w:rPr>
        <w:t>the European Union Reference Laboratory develop such methods within a period agreed with the Commission and the Member States.</w:t>
      </w:r>
      <w:r w:rsidR="00B979D1">
        <w:t xml:space="preserve"> </w:t>
      </w:r>
    </w:p>
    <w:p w14:paraId="445B0FB0" w14:textId="651A202B" w:rsidR="003C0AC5" w:rsidRPr="00432F22" w:rsidRDefault="00CE1518" w:rsidP="00CE1518">
      <w:pPr>
        <w:pStyle w:val="Considrant"/>
      </w:pPr>
      <w:r w:rsidRPr="00432F22">
        <w:t xml:space="preserve">In accordance with Article 16(1) of Regulation (EC) No 1935/2004, </w:t>
      </w:r>
      <w:r w:rsidR="00802C69" w:rsidRPr="00432F22">
        <w:t>specific measures adopted by the Commission are to require that</w:t>
      </w:r>
      <w:r w:rsidR="00475679">
        <w:t xml:space="preserve"> </w:t>
      </w:r>
      <w:r w:rsidR="00347E67">
        <w:t xml:space="preserve">the </w:t>
      </w:r>
      <w:r w:rsidR="00475679">
        <w:t>food contact</w:t>
      </w:r>
      <w:r w:rsidR="00802C69" w:rsidRPr="00432F22">
        <w:t xml:space="preserve"> materials and articles are</w:t>
      </w:r>
      <w:r w:rsidRPr="00432F22">
        <w:t xml:space="preserve"> accompanied by a written declaration </w:t>
      </w:r>
      <w:r w:rsidR="00EB5B74">
        <w:t>attesting their</w:t>
      </w:r>
      <w:r w:rsidRPr="00432F22">
        <w:t xml:space="preserve"> compl</w:t>
      </w:r>
      <w:r w:rsidR="00EB5B74">
        <w:t>iance</w:t>
      </w:r>
      <w:r w:rsidRPr="00432F22">
        <w:t xml:space="preserve"> with the applicable </w:t>
      </w:r>
      <w:r w:rsidR="00EB5B74">
        <w:t>rules</w:t>
      </w:r>
      <w:r w:rsidR="00347E67">
        <w:t xml:space="preserve"> (‘declaration of compliance’)</w:t>
      </w:r>
      <w:r w:rsidRPr="00432F22">
        <w:t xml:space="preserve">. That declaration should </w:t>
      </w:r>
      <w:r w:rsidR="005E10F2" w:rsidRPr="00432F22">
        <w:t>accompany</w:t>
      </w:r>
      <w:r w:rsidRPr="00432F22">
        <w:t xml:space="preserve"> </w:t>
      </w:r>
      <w:r w:rsidR="005E10F2" w:rsidRPr="00432F22">
        <w:t xml:space="preserve">the food contact materials and articles at all stages of </w:t>
      </w:r>
      <w:r w:rsidR="007F65D8">
        <w:t xml:space="preserve">placing on the </w:t>
      </w:r>
      <w:r w:rsidR="005E10F2" w:rsidRPr="00432F22">
        <w:t>market</w:t>
      </w:r>
      <w:r w:rsidR="00347E67">
        <w:t>,</w:t>
      </w:r>
      <w:r w:rsidR="007F65D8">
        <w:t xml:space="preserve"> except during the retail stage</w:t>
      </w:r>
      <w:r w:rsidR="00347E67">
        <w:t>,</w:t>
      </w:r>
      <w:r w:rsidR="00F84517">
        <w:t xml:space="preserve"> </w:t>
      </w:r>
      <w:r w:rsidR="00347E67">
        <w:t>such as</w:t>
      </w:r>
      <w:r w:rsidR="00F84517">
        <w:t xml:space="preserve"> the</w:t>
      </w:r>
      <w:r w:rsidR="007F65D8">
        <w:t xml:space="preserve"> transfer of packaged foods or sale of </w:t>
      </w:r>
      <w:r w:rsidR="00F84517">
        <w:t>food contact materials and articles to consumers.</w:t>
      </w:r>
      <w:r w:rsidRPr="00432F22">
        <w:t xml:space="preserve"> </w:t>
      </w:r>
      <w:r w:rsidR="00F84517">
        <w:t>A</w:t>
      </w:r>
      <w:r w:rsidRPr="00432F22">
        <w:t xml:space="preserve">ll business operators responsible for placing intermediate </w:t>
      </w:r>
      <w:r w:rsidR="0071468E">
        <w:t xml:space="preserve">food contact </w:t>
      </w:r>
      <w:r w:rsidRPr="00432F22">
        <w:t xml:space="preserve">materials </w:t>
      </w:r>
      <w:r w:rsidR="00791EA2" w:rsidRPr="00432F22">
        <w:t>as well as final</w:t>
      </w:r>
      <w:r w:rsidR="00AC7B61">
        <w:t xml:space="preserve"> food contact</w:t>
      </w:r>
      <w:r w:rsidR="00791EA2" w:rsidRPr="00432F22">
        <w:t xml:space="preserve"> articles on the market </w:t>
      </w:r>
      <w:r w:rsidR="00F84517">
        <w:t xml:space="preserve">should therefore </w:t>
      </w:r>
      <w:r w:rsidRPr="00432F22">
        <w:t xml:space="preserve">have the declaration of compliance in their possession. </w:t>
      </w:r>
      <w:r w:rsidR="009D64DA">
        <w:t>For the sake of clarity</w:t>
      </w:r>
      <w:r w:rsidR="00FB0811">
        <w:t xml:space="preserve"> and simplicity for compliance</w:t>
      </w:r>
      <w:r w:rsidR="009D64DA">
        <w:t xml:space="preserve">, in particular </w:t>
      </w:r>
      <w:r w:rsidR="00FB0811">
        <w:t xml:space="preserve">taking into consideration the transitional provisions, </w:t>
      </w:r>
      <w:r w:rsidR="009D64DA">
        <w:t xml:space="preserve">the declaration should include an indication as to whether or not BPA </w:t>
      </w:r>
      <w:r w:rsidR="00FB0811">
        <w:t xml:space="preserve">or other relevant bisphenols </w:t>
      </w:r>
      <w:r w:rsidR="00347E67">
        <w:t xml:space="preserve">or </w:t>
      </w:r>
      <w:r w:rsidR="00114CBA">
        <w:t xml:space="preserve">bisphenol </w:t>
      </w:r>
      <w:r w:rsidR="00347E67">
        <w:t xml:space="preserve">derivatives </w:t>
      </w:r>
      <w:r w:rsidR="009D64DA">
        <w:t>ha</w:t>
      </w:r>
      <w:r w:rsidR="00FB0811">
        <w:t>ve</w:t>
      </w:r>
      <w:r w:rsidR="009D64DA">
        <w:t xml:space="preserve"> been used in the manufacture of the food contact material or article. </w:t>
      </w:r>
    </w:p>
    <w:p w14:paraId="7475B34B" w14:textId="77777777" w:rsidR="00C27568" w:rsidRDefault="00C27568" w:rsidP="00C27568">
      <w:pPr>
        <w:pStyle w:val="Considrant"/>
      </w:pPr>
      <w:r>
        <w:rPr>
          <w:szCs w:val="24"/>
          <w:lang w:val="en-IE"/>
        </w:rPr>
        <w:t xml:space="preserve">In order to </w:t>
      </w:r>
      <w:r>
        <w:t xml:space="preserve">ensure coherence and facilitate compliance, </w:t>
      </w:r>
      <w:r>
        <w:rPr>
          <w:szCs w:val="24"/>
          <w:lang w:val="en-IE"/>
        </w:rPr>
        <w:t xml:space="preserve">the requirements </w:t>
      </w:r>
      <w:r w:rsidR="00347E67">
        <w:rPr>
          <w:szCs w:val="24"/>
          <w:lang w:val="en-IE"/>
        </w:rPr>
        <w:t xml:space="preserve">of </w:t>
      </w:r>
      <w:r w:rsidR="00347E67">
        <w:t xml:space="preserve">this Regulation </w:t>
      </w:r>
      <w:r w:rsidR="00347E67">
        <w:rPr>
          <w:szCs w:val="24"/>
          <w:lang w:val="en-IE"/>
        </w:rPr>
        <w:t>should apply to all relevant food contact materials and articles, including plastics</w:t>
      </w:r>
      <w:r>
        <w:rPr>
          <w:szCs w:val="24"/>
          <w:lang w:val="en-IE"/>
        </w:rPr>
        <w:t xml:space="preserve">. </w:t>
      </w:r>
      <w:r>
        <w:t xml:space="preserve">Regulation </w:t>
      </w:r>
      <w:r w:rsidR="00FF28F2">
        <w:t xml:space="preserve">(EU) No 10/2011 </w:t>
      </w:r>
      <w:r>
        <w:t xml:space="preserve">on plastic food contact materials and articles </w:t>
      </w:r>
      <w:r w:rsidR="00FF28F2">
        <w:t xml:space="preserve">should </w:t>
      </w:r>
      <w:r w:rsidR="00347E67">
        <w:t xml:space="preserve">therefore </w:t>
      </w:r>
      <w:r w:rsidR="00FF28F2">
        <w:t xml:space="preserve">be </w:t>
      </w:r>
      <w:r w:rsidR="00347E67">
        <w:t>amended accordingly</w:t>
      </w:r>
      <w:r>
        <w:t>.</w:t>
      </w:r>
    </w:p>
    <w:p w14:paraId="626C34B6" w14:textId="403394B0" w:rsidR="00276BB6" w:rsidRPr="00432F22" w:rsidRDefault="00276BB6" w:rsidP="001E02A2">
      <w:pPr>
        <w:pStyle w:val="Considrant"/>
      </w:pPr>
      <w:r w:rsidRPr="00432F22">
        <w:t xml:space="preserve">The prohibition on the use of BPA presents a significant shift away from </w:t>
      </w:r>
      <w:r w:rsidR="00545D46">
        <w:t>the use of specifically formulated food contact materials and articles</w:t>
      </w:r>
      <w:r w:rsidRPr="00432F22">
        <w:t xml:space="preserve">, on which business operators have relied for </w:t>
      </w:r>
      <w:r w:rsidR="00114CBA">
        <w:t>several</w:t>
      </w:r>
      <w:r w:rsidRPr="00432F22">
        <w:t xml:space="preserve"> decades to </w:t>
      </w:r>
      <w:r w:rsidR="005E76DF">
        <w:t>manufacture</w:t>
      </w:r>
      <w:r w:rsidR="005E76DF" w:rsidRPr="00432F22">
        <w:t xml:space="preserve"> </w:t>
      </w:r>
      <w:r w:rsidR="00EC7E7B" w:rsidRPr="00432F22">
        <w:t>food contact materials and articles</w:t>
      </w:r>
      <w:r w:rsidR="007E50F3" w:rsidRPr="00432F22">
        <w:t xml:space="preserve"> for many different applications</w:t>
      </w:r>
      <w:r w:rsidR="00114CBA">
        <w:t>,</w:t>
      </w:r>
      <w:r w:rsidR="00DE5A65" w:rsidRPr="00432F22">
        <w:t xml:space="preserve"> and </w:t>
      </w:r>
      <w:r w:rsidR="00114CBA">
        <w:t>which</w:t>
      </w:r>
      <w:r w:rsidR="00DE5A65" w:rsidRPr="00432F22">
        <w:t xml:space="preserve"> are currently widely used </w:t>
      </w:r>
      <w:r w:rsidR="00F2189C">
        <w:t>i</w:t>
      </w:r>
      <w:r w:rsidR="00F2189C" w:rsidRPr="00432F22">
        <w:t xml:space="preserve">n </w:t>
      </w:r>
      <w:r w:rsidR="00DE5A65" w:rsidRPr="00432F22">
        <w:t>the Union</w:t>
      </w:r>
      <w:r w:rsidRPr="00432F22">
        <w:t xml:space="preserve">. This is particularly true for varnishes and coatings applied </w:t>
      </w:r>
      <w:r w:rsidR="00417CD9" w:rsidRPr="00432F22">
        <w:t>to</w:t>
      </w:r>
      <w:r w:rsidR="007E50F3" w:rsidRPr="00432F22">
        <w:t xml:space="preserve"> </w:t>
      </w:r>
      <w:r w:rsidRPr="00432F22">
        <w:t xml:space="preserve">metal packaging, where several hundreds of possible formulations of BPA-based epoxy resins exist, depending on the requirements of the final </w:t>
      </w:r>
      <w:r w:rsidR="005E76DF">
        <w:t xml:space="preserve">food contact </w:t>
      </w:r>
      <w:r w:rsidRPr="00432F22">
        <w:t xml:space="preserve">article. </w:t>
      </w:r>
      <w:r w:rsidR="00DE5A65" w:rsidRPr="00432F22">
        <w:t xml:space="preserve">Therefore, the transition to food contact materials and articles that </w:t>
      </w:r>
      <w:r w:rsidR="005E76DF">
        <w:t xml:space="preserve">are manufactured </w:t>
      </w:r>
      <w:r w:rsidR="00484F35">
        <w:t>without the need for</w:t>
      </w:r>
      <w:r w:rsidR="00DE5A65" w:rsidRPr="00432F22">
        <w:t xml:space="preserve"> BPA </w:t>
      </w:r>
      <w:r w:rsidR="00484F35">
        <w:t>should</w:t>
      </w:r>
      <w:r w:rsidR="00DE5A65" w:rsidRPr="00432F22">
        <w:t xml:space="preserve"> be organised so </w:t>
      </w:r>
      <w:r w:rsidR="00484F35">
        <w:t>as</w:t>
      </w:r>
      <w:r w:rsidR="00DE5A65" w:rsidRPr="00432F22">
        <w:t xml:space="preserve"> to </w:t>
      </w:r>
      <w:r w:rsidR="00484F35">
        <w:t>avoid</w:t>
      </w:r>
      <w:r w:rsidR="00484F35" w:rsidRPr="00432F22">
        <w:t xml:space="preserve"> compromis</w:t>
      </w:r>
      <w:r w:rsidR="00484F35">
        <w:t>ing</w:t>
      </w:r>
      <w:r w:rsidR="00484F35" w:rsidRPr="00432F22">
        <w:t xml:space="preserve"> </w:t>
      </w:r>
      <w:r w:rsidR="00DE5A65" w:rsidRPr="00432F22">
        <w:t>the safety of food</w:t>
      </w:r>
      <w:r w:rsidR="00484F35">
        <w:t xml:space="preserve"> </w:t>
      </w:r>
      <w:r w:rsidR="00484F35" w:rsidRPr="00432F22">
        <w:t>a</w:t>
      </w:r>
      <w:r w:rsidR="00484F35">
        <w:t>nd</w:t>
      </w:r>
      <w:r w:rsidR="00484F35" w:rsidRPr="00432F22">
        <w:t xml:space="preserve"> to avoid disruption </w:t>
      </w:r>
      <w:r w:rsidR="00484F35">
        <w:t>to</w:t>
      </w:r>
      <w:r w:rsidR="00484F35" w:rsidRPr="00432F22">
        <w:t xml:space="preserve"> food supply </w:t>
      </w:r>
      <w:r w:rsidR="00484F35">
        <w:t xml:space="preserve">chains </w:t>
      </w:r>
      <w:r w:rsidR="00484F35" w:rsidRPr="00432F22">
        <w:t>within the Union</w:t>
      </w:r>
      <w:r w:rsidR="00DE5A65" w:rsidRPr="00432F22">
        <w:t xml:space="preserve">. </w:t>
      </w:r>
      <w:r w:rsidRPr="00432F22">
        <w:t xml:space="preserve">Many business operators, in particular those in the </w:t>
      </w:r>
      <w:r w:rsidR="008A71BC" w:rsidRPr="00432F22">
        <w:t xml:space="preserve">varnished and coated </w:t>
      </w:r>
      <w:r w:rsidRPr="00432F22">
        <w:t xml:space="preserve">metal packaging supply chain, have been proactive in </w:t>
      </w:r>
      <w:r w:rsidR="00013559" w:rsidRPr="00432F22">
        <w:t>preparing for a transition away from BPA and</w:t>
      </w:r>
      <w:r w:rsidRPr="00432F22">
        <w:t xml:space="preserve"> changes have already been instigated in response to supply chain demand. </w:t>
      </w:r>
      <w:r w:rsidR="00355833" w:rsidRPr="00432F22">
        <w:t>I</w:t>
      </w:r>
      <w:r w:rsidRPr="00432F22">
        <w:t xml:space="preserve">n order to allow time for business operators to complete this process and comply with the rules laid down in this Regulation, </w:t>
      </w:r>
      <w:r w:rsidR="00C025AA" w:rsidRPr="00432F22">
        <w:t xml:space="preserve">final </w:t>
      </w:r>
      <w:r w:rsidR="005F7E6D" w:rsidRPr="00432F22">
        <w:t xml:space="preserve">food contact </w:t>
      </w:r>
      <w:r w:rsidRPr="00432F22">
        <w:t>articles complying with the existing rules as applicable before the date of the entry into force of this Regulation</w:t>
      </w:r>
      <w:r w:rsidR="004F7BCB">
        <w:t>, rather than the rules applicable in this Regulation,</w:t>
      </w:r>
      <w:r w:rsidRPr="00432F22">
        <w:t xml:space="preserve"> should be allowed to be placed on the Union market </w:t>
      </w:r>
      <w:r w:rsidR="00BC454A" w:rsidRPr="00432F22">
        <w:t xml:space="preserve">for the first time </w:t>
      </w:r>
      <w:r w:rsidRPr="00432F22">
        <w:t>for a transition period of 18 months after the entry into force of this Regulation.</w:t>
      </w:r>
    </w:p>
    <w:p w14:paraId="6C2F1CAE" w14:textId="26DE84BE" w:rsidR="00854828" w:rsidRPr="00432F22" w:rsidRDefault="007D19F1" w:rsidP="001E02A2">
      <w:pPr>
        <w:pStyle w:val="Considrant"/>
      </w:pPr>
      <w:r w:rsidRPr="00432F22">
        <w:t>F</w:t>
      </w:r>
      <w:r w:rsidR="00276BB6" w:rsidRPr="00432F22">
        <w:t xml:space="preserve">or some specific </w:t>
      </w:r>
      <w:r w:rsidR="00AC0044">
        <w:t xml:space="preserve">food contact </w:t>
      </w:r>
      <w:r w:rsidR="00276BB6" w:rsidRPr="00432F22">
        <w:t>materials and articles however, a transition period of 18 months is insufficient</w:t>
      </w:r>
      <w:r w:rsidR="005E76DF">
        <w:t>,</w:t>
      </w:r>
      <w:r w:rsidR="00276BB6" w:rsidRPr="00432F22">
        <w:t xml:space="preserve"> </w:t>
      </w:r>
      <w:r w:rsidR="00DE5A65" w:rsidRPr="00432F22">
        <w:t>since</w:t>
      </w:r>
      <w:r w:rsidR="00276BB6" w:rsidRPr="00432F22">
        <w:t xml:space="preserve"> business operators </w:t>
      </w:r>
      <w:r w:rsidRPr="00432F22">
        <w:t>require</w:t>
      </w:r>
      <w:r w:rsidR="00276BB6" w:rsidRPr="00432F22">
        <w:t xml:space="preserve"> additional time to identify</w:t>
      </w:r>
      <w:r w:rsidR="00114CBA">
        <w:t>,</w:t>
      </w:r>
      <w:r w:rsidR="00276BB6" w:rsidRPr="00432F22">
        <w:t xml:space="preserve"> and ensure the technical feasibility</w:t>
      </w:r>
      <w:r w:rsidR="00114CBA">
        <w:t>,</w:t>
      </w:r>
      <w:r w:rsidR="00276BB6" w:rsidRPr="00432F22">
        <w:t xml:space="preserve"> of alternatives</w:t>
      </w:r>
      <w:r w:rsidR="005E76DF">
        <w:t xml:space="preserve"> </w:t>
      </w:r>
      <w:r w:rsidR="00361A2B">
        <w:t xml:space="preserve">at scale </w:t>
      </w:r>
      <w:r w:rsidR="005E76DF">
        <w:t>for the whole of the Union market</w:t>
      </w:r>
      <w:r w:rsidR="00276BB6" w:rsidRPr="00432F22">
        <w:t>.</w:t>
      </w:r>
      <w:r w:rsidR="009A665D" w:rsidRPr="00432F22">
        <w:t xml:space="preserve"> This includes the time taken to </w:t>
      </w:r>
      <w:r w:rsidR="00AA5596" w:rsidRPr="00432F22">
        <w:t xml:space="preserve">fully develop </w:t>
      </w:r>
      <w:r w:rsidR="009A665D" w:rsidRPr="00432F22">
        <w:t>replacement formulations and assess their functionality and performance against critical parameters</w:t>
      </w:r>
      <w:r w:rsidR="004F7BCB">
        <w:t>,</w:t>
      </w:r>
      <w:r w:rsidR="009A665D" w:rsidRPr="00432F22">
        <w:t xml:space="preserve"> including chemical safety, protection of the food to avoid microbiological spoilage and to ensure adequate shelf-life, where no accelerated methods exist</w:t>
      </w:r>
      <w:r w:rsidR="00BC454A" w:rsidRPr="00432F22">
        <w:t xml:space="preserve"> to test shelf-life</w:t>
      </w:r>
      <w:r w:rsidR="009A665D" w:rsidRPr="00432F22">
        <w:t xml:space="preserve">, before eventual scaling up for availability at commercial level. </w:t>
      </w:r>
      <w:r w:rsidR="00EB5B74">
        <w:t>T</w:t>
      </w:r>
      <w:r w:rsidR="00EB5B74" w:rsidRPr="00432F22">
        <w:t xml:space="preserve">he reformulation of specific </w:t>
      </w:r>
      <w:r w:rsidR="00EB5B74">
        <w:lastRenderedPageBreak/>
        <w:t xml:space="preserve">food contact </w:t>
      </w:r>
      <w:r w:rsidR="00EB5B74" w:rsidRPr="00432F22">
        <w:t xml:space="preserve">materials and articles </w:t>
      </w:r>
      <w:r w:rsidR="00EB5B74">
        <w:t>and</w:t>
      </w:r>
      <w:r w:rsidR="00EB5B74" w:rsidRPr="00432F22">
        <w:t xml:space="preserve"> phas</w:t>
      </w:r>
      <w:r w:rsidR="00EB5B74">
        <w:t>ing</w:t>
      </w:r>
      <w:r w:rsidR="00EB5B74" w:rsidRPr="00432F22">
        <w:t xml:space="preserve"> out of BPA completely</w:t>
      </w:r>
      <w:r w:rsidR="00EB5B74">
        <w:t>, whilst</w:t>
      </w:r>
      <w:r w:rsidR="009A665D" w:rsidRPr="00432F22">
        <w:t xml:space="preserve"> avoid</w:t>
      </w:r>
      <w:r w:rsidR="00EB5B74">
        <w:t>ing</w:t>
      </w:r>
      <w:r w:rsidR="009A665D" w:rsidRPr="00432F22">
        <w:t xml:space="preserve"> disruption to the food supply chain, </w:t>
      </w:r>
      <w:r w:rsidR="002E3EE7">
        <w:t xml:space="preserve">therefore </w:t>
      </w:r>
      <w:r w:rsidR="00EB5B74">
        <w:t>require</w:t>
      </w:r>
      <w:r w:rsidR="004F7BCB">
        <w:t>s</w:t>
      </w:r>
      <w:r w:rsidR="009A665D" w:rsidRPr="00432F22">
        <w:t xml:space="preserve"> extra transition time.</w:t>
      </w:r>
    </w:p>
    <w:p w14:paraId="666C34FF" w14:textId="136597BF" w:rsidR="00C172B4" w:rsidRPr="00432F22" w:rsidRDefault="00DE5A65">
      <w:pPr>
        <w:pStyle w:val="Considrant"/>
      </w:pPr>
      <w:r w:rsidRPr="00432F22">
        <w:t xml:space="preserve">In particular, </w:t>
      </w:r>
      <w:r w:rsidR="003C4A7A">
        <w:t xml:space="preserve">certain </w:t>
      </w:r>
      <w:r w:rsidR="002C2D53" w:rsidRPr="00432F22">
        <w:t>fruit</w:t>
      </w:r>
      <w:r w:rsidR="003C4A7A">
        <w:t>s</w:t>
      </w:r>
      <w:r w:rsidR="002C2D53" w:rsidRPr="00432F22">
        <w:t xml:space="preserve"> and vegetable</w:t>
      </w:r>
      <w:r w:rsidR="007C0E1C">
        <w:t>s</w:t>
      </w:r>
      <w:r w:rsidR="002C2D53" w:rsidRPr="00432F22">
        <w:t xml:space="preserve"> </w:t>
      </w:r>
      <w:r w:rsidR="007C0E1C">
        <w:t xml:space="preserve">that are preserved </w:t>
      </w:r>
      <w:r w:rsidR="007C3ED1">
        <w:t>i</w:t>
      </w:r>
      <w:r w:rsidR="007C0E1C">
        <w:t>n</w:t>
      </w:r>
      <w:r w:rsidR="003C4A7A">
        <w:t>side</w:t>
      </w:r>
      <w:r w:rsidR="007C0E1C">
        <w:t xml:space="preserve"> </w:t>
      </w:r>
      <w:r w:rsidR="003C4A7A">
        <w:t>varnished or coated tin cans</w:t>
      </w:r>
      <w:r w:rsidR="007C3ED1">
        <w:t xml:space="preserve"> or glass jars with varnished lids</w:t>
      </w:r>
      <w:r w:rsidR="003C4A7A">
        <w:t>, create an acidic environment inside the packaging</w:t>
      </w:r>
      <w:r w:rsidR="007C3ED1">
        <w:t>. This</w:t>
      </w:r>
      <w:r w:rsidR="003C4A7A">
        <w:t xml:space="preserve"> in turn </w:t>
      </w:r>
      <w:r w:rsidR="007C3ED1">
        <w:t>poses</w:t>
      </w:r>
      <w:r w:rsidR="003C4A7A">
        <w:t xml:space="preserve"> additional burden in </w:t>
      </w:r>
      <w:r w:rsidR="00E6265F" w:rsidRPr="00432F22">
        <w:t xml:space="preserve">the validation steps </w:t>
      </w:r>
      <w:r w:rsidR="003C4A7A">
        <w:t>necessary to ensure that</w:t>
      </w:r>
      <w:r w:rsidR="003C4A7A" w:rsidRPr="00432F22">
        <w:t xml:space="preserve"> </w:t>
      </w:r>
      <w:r w:rsidR="00E6265F" w:rsidRPr="00432F22">
        <w:t>the alternatives</w:t>
      </w:r>
      <w:r w:rsidR="00383857" w:rsidRPr="00432F22">
        <w:t xml:space="preserve"> </w:t>
      </w:r>
      <w:r w:rsidR="003C4A7A">
        <w:t>are safe and function as required</w:t>
      </w:r>
      <w:r w:rsidR="002C2D53" w:rsidRPr="00432F22">
        <w:t xml:space="preserve">. </w:t>
      </w:r>
      <w:r w:rsidR="00E6265F" w:rsidRPr="00432F22">
        <w:t>Further</w:t>
      </w:r>
      <w:r w:rsidR="00BC454A" w:rsidRPr="00432F22">
        <w:t>more</w:t>
      </w:r>
      <w:r w:rsidR="002C2D53" w:rsidRPr="00432F22">
        <w:t xml:space="preserve">, </w:t>
      </w:r>
      <w:r w:rsidR="00655918" w:rsidRPr="00432F22">
        <w:t xml:space="preserve">the seasonal nature of </w:t>
      </w:r>
      <w:r w:rsidR="00E6265F" w:rsidRPr="00432F22">
        <w:t>fruit</w:t>
      </w:r>
      <w:r w:rsidR="003C4A7A">
        <w:t xml:space="preserve"> and vegetable production as well as that of fishery products</w:t>
      </w:r>
      <w:r w:rsidR="007C3ED1">
        <w:t xml:space="preserve">, </w:t>
      </w:r>
      <w:r w:rsidR="00E6265F" w:rsidRPr="00432F22">
        <w:t>create</w:t>
      </w:r>
      <w:r w:rsidR="00C03079" w:rsidRPr="00432F22">
        <w:t>s</w:t>
      </w:r>
      <w:r w:rsidR="00E6265F" w:rsidRPr="00432F22">
        <w:t xml:space="preserve"> </w:t>
      </w:r>
      <w:r w:rsidR="001E465E" w:rsidRPr="00432F22">
        <w:t>peaks in food productio</w:t>
      </w:r>
      <w:r w:rsidR="00E6265F" w:rsidRPr="00432F22">
        <w:t>n</w:t>
      </w:r>
      <w:r w:rsidR="00C03079" w:rsidRPr="00432F22">
        <w:t xml:space="preserve"> and thus in demand for packaging during certain periods</w:t>
      </w:r>
      <w:r w:rsidR="00114CBA">
        <w:t>, which</w:t>
      </w:r>
      <w:r w:rsidR="00C03079" w:rsidRPr="00432F22">
        <w:t xml:space="preserve"> </w:t>
      </w:r>
      <w:r w:rsidR="0071468E">
        <w:t>cannot</w:t>
      </w:r>
      <w:r w:rsidR="00C03079" w:rsidRPr="00432F22">
        <w:t xml:space="preserve"> be met </w:t>
      </w:r>
      <w:r w:rsidR="0071468E">
        <w:t xml:space="preserve">alone </w:t>
      </w:r>
      <w:r w:rsidR="00C03079" w:rsidRPr="00432F22">
        <w:t>with packaging</w:t>
      </w:r>
      <w:r w:rsidR="001F2716" w:rsidRPr="00432F22">
        <w:t xml:space="preserve"> </w:t>
      </w:r>
      <w:r w:rsidR="00951C17">
        <w:t>manufactured without</w:t>
      </w:r>
      <w:r w:rsidR="001F2716" w:rsidRPr="00432F22">
        <w:t xml:space="preserve"> BPA</w:t>
      </w:r>
      <w:r w:rsidR="0071468E">
        <w:t>,</w:t>
      </w:r>
      <w:r w:rsidR="001F2716" w:rsidRPr="00432F22">
        <w:t xml:space="preserve"> during</w:t>
      </w:r>
      <w:r w:rsidR="00383857" w:rsidRPr="00432F22">
        <w:t xml:space="preserve"> the standard 18 months transition period. </w:t>
      </w:r>
      <w:r w:rsidR="001F2716" w:rsidRPr="00432F22">
        <w:t xml:space="preserve"> Therefore, in order to allow enough time to bring the applications for these types of packaging to commercial scale and to avoid food waste, </w:t>
      </w:r>
      <w:r w:rsidR="00E6265F" w:rsidRPr="00432F22">
        <w:t xml:space="preserve">it </w:t>
      </w:r>
      <w:r w:rsidR="001E1AEB" w:rsidRPr="00432F22">
        <w:t xml:space="preserve">is appropriate to </w:t>
      </w:r>
      <w:r w:rsidR="00653836" w:rsidRPr="00432F22">
        <w:t>allow</w:t>
      </w:r>
      <w:r w:rsidR="00DA17BA" w:rsidRPr="00432F22">
        <w:t xml:space="preserve"> </w:t>
      </w:r>
      <w:r w:rsidR="002C2D53" w:rsidRPr="00432F22">
        <w:t xml:space="preserve">final </w:t>
      </w:r>
      <w:r w:rsidR="00F12E9A">
        <w:t xml:space="preserve">food contact </w:t>
      </w:r>
      <w:r w:rsidR="002C2D53" w:rsidRPr="00432F22">
        <w:t xml:space="preserve">articles using </w:t>
      </w:r>
      <w:r w:rsidR="00D51A42" w:rsidRPr="00432F22">
        <w:t>varnishes and coatings</w:t>
      </w:r>
      <w:r w:rsidR="00DA17BA" w:rsidRPr="00432F22">
        <w:t xml:space="preserve"> </w:t>
      </w:r>
      <w:r w:rsidR="00D51A42" w:rsidRPr="00432F22">
        <w:t>manufactured with BPA</w:t>
      </w:r>
      <w:r w:rsidR="0071468E">
        <w:t>,</w:t>
      </w:r>
      <w:r w:rsidR="00D51A42" w:rsidRPr="00432F22">
        <w:t xml:space="preserve"> </w:t>
      </w:r>
      <w:r w:rsidR="001E1AEB" w:rsidRPr="00432F22">
        <w:t xml:space="preserve">specifically </w:t>
      </w:r>
      <w:r w:rsidR="00AF0C05" w:rsidRPr="00432F22">
        <w:t xml:space="preserve">for the packaging </w:t>
      </w:r>
      <w:r w:rsidR="004F7BCB">
        <w:t xml:space="preserve">used to preserve </w:t>
      </w:r>
      <w:r w:rsidR="00AF0C05" w:rsidRPr="00432F22">
        <w:t>fruit</w:t>
      </w:r>
      <w:r w:rsidR="002D7ADE">
        <w:t>,</w:t>
      </w:r>
      <w:r w:rsidR="00AF0C05" w:rsidRPr="00432F22">
        <w:t xml:space="preserve"> vegetable</w:t>
      </w:r>
      <w:r w:rsidR="002D7ADE">
        <w:t>s</w:t>
      </w:r>
      <w:r w:rsidR="00AF0C05" w:rsidRPr="00432F22">
        <w:t xml:space="preserve"> and processed fish</w:t>
      </w:r>
      <w:r w:rsidR="001F2716" w:rsidRPr="00432F22">
        <w:t xml:space="preserve"> products</w:t>
      </w:r>
      <w:r w:rsidR="0071468E">
        <w:t xml:space="preserve">, </w:t>
      </w:r>
      <w:r w:rsidR="00C0571A">
        <w:t>to be placed on the market during a period of 36 months</w:t>
      </w:r>
      <w:r w:rsidR="003D455A">
        <w:t xml:space="preserve"> </w:t>
      </w:r>
      <w:r w:rsidR="003D455A" w:rsidRPr="00432F22">
        <w:t>after the entry into force of this Regulation</w:t>
      </w:r>
      <w:r w:rsidR="00662E08" w:rsidRPr="00432F22">
        <w:t xml:space="preserve">. </w:t>
      </w:r>
    </w:p>
    <w:p w14:paraId="603A0928" w14:textId="4CF0E588" w:rsidR="003A186C" w:rsidRPr="00432F22" w:rsidRDefault="001F2716" w:rsidP="00B53265">
      <w:pPr>
        <w:pStyle w:val="Considrant"/>
      </w:pPr>
      <w:r w:rsidRPr="00432F22">
        <w:t>F</w:t>
      </w:r>
      <w:r w:rsidR="00B1539D" w:rsidRPr="00432F22">
        <w:t xml:space="preserve">ormulations to manufacture varnishes and coatings </w:t>
      </w:r>
      <w:r w:rsidR="00383857" w:rsidRPr="00432F22">
        <w:t>using alternatives to</w:t>
      </w:r>
      <w:r w:rsidR="00653836" w:rsidRPr="00432F22">
        <w:t xml:space="preserve"> BPA</w:t>
      </w:r>
      <w:r w:rsidR="00383857" w:rsidRPr="00432F22">
        <w:t xml:space="preserve"> </w:t>
      </w:r>
      <w:r w:rsidR="00B1539D" w:rsidRPr="00432F22">
        <w:t>applied to the external surface</w:t>
      </w:r>
      <w:r w:rsidR="00F2189C">
        <w:t>s</w:t>
      </w:r>
      <w:r w:rsidR="00B1539D" w:rsidRPr="00432F22">
        <w:t xml:space="preserve"> of metal packaging</w:t>
      </w:r>
      <w:r w:rsidR="00383857" w:rsidRPr="00432F22">
        <w:t xml:space="preserve"> </w:t>
      </w:r>
      <w:r w:rsidR="00BD2B81" w:rsidRPr="00432F22">
        <w:t>are</w:t>
      </w:r>
      <w:r w:rsidR="00B1539D" w:rsidRPr="00432F22">
        <w:t xml:space="preserve"> also under development</w:t>
      </w:r>
      <w:r w:rsidR="00802C69" w:rsidRPr="00432F22">
        <w:t xml:space="preserve"> although</w:t>
      </w:r>
      <w:r w:rsidR="00B1539D" w:rsidRPr="00432F22">
        <w:t xml:space="preserve"> </w:t>
      </w:r>
      <w:r w:rsidR="00802C69" w:rsidRPr="00432F22">
        <w:t xml:space="preserve">such developments are </w:t>
      </w:r>
      <w:r w:rsidR="00133CCB" w:rsidRPr="00432F22">
        <w:t xml:space="preserve">less advanced </w:t>
      </w:r>
      <w:r w:rsidR="00802C69" w:rsidRPr="00432F22">
        <w:t xml:space="preserve">than </w:t>
      </w:r>
      <w:r w:rsidR="0071468E">
        <w:t xml:space="preserve">those </w:t>
      </w:r>
      <w:r w:rsidR="00802C69" w:rsidRPr="00432F22">
        <w:t xml:space="preserve">for the </w:t>
      </w:r>
      <w:r w:rsidR="00F2189C">
        <w:t>internal</w:t>
      </w:r>
      <w:r w:rsidR="00F2189C" w:rsidRPr="00432F22">
        <w:t xml:space="preserve"> </w:t>
      </w:r>
      <w:r w:rsidR="00802C69" w:rsidRPr="00432F22">
        <w:t>surface</w:t>
      </w:r>
      <w:r w:rsidR="00F2189C">
        <w:t>s</w:t>
      </w:r>
      <w:r w:rsidR="00802C69" w:rsidRPr="00432F22">
        <w:t>. A</w:t>
      </w:r>
      <w:r w:rsidRPr="00432F22">
        <w:t xml:space="preserve"> transition </w:t>
      </w:r>
      <w:r w:rsidR="003D455A">
        <w:t xml:space="preserve">period </w:t>
      </w:r>
      <w:r w:rsidR="00C0571A" w:rsidRPr="00432F22">
        <w:t xml:space="preserve">longer </w:t>
      </w:r>
      <w:r w:rsidR="00C0571A">
        <w:t>than 18 months</w:t>
      </w:r>
      <w:r w:rsidR="00133CCB" w:rsidRPr="00432F22">
        <w:t xml:space="preserve"> is </w:t>
      </w:r>
      <w:r w:rsidR="00802C69" w:rsidRPr="00432F22">
        <w:t xml:space="preserve">therefore </w:t>
      </w:r>
      <w:r w:rsidR="00133CCB" w:rsidRPr="00432F22">
        <w:t>also required</w:t>
      </w:r>
      <w:r w:rsidR="00C0571A">
        <w:t xml:space="preserve"> for those products, </w:t>
      </w:r>
      <w:r w:rsidR="003D455A">
        <w:t>which</w:t>
      </w:r>
      <w:r w:rsidR="00C0571A">
        <w:t xml:space="preserve"> is</w:t>
      </w:r>
      <w:r w:rsidRPr="00432F22">
        <w:t xml:space="preserve"> estimated</w:t>
      </w:r>
      <w:r w:rsidR="00A738E5">
        <w:t>,</w:t>
      </w:r>
      <w:r w:rsidRPr="00432F22">
        <w:t xml:space="preserve"> </w:t>
      </w:r>
      <w:r w:rsidR="00C0571A">
        <w:t xml:space="preserve">on the basis of information provided </w:t>
      </w:r>
      <w:r w:rsidRPr="00432F22">
        <w:t>by industry</w:t>
      </w:r>
      <w:r w:rsidR="00A738E5">
        <w:t>,</w:t>
      </w:r>
      <w:r w:rsidRPr="00432F22">
        <w:t xml:space="preserve"> to be </w:t>
      </w:r>
      <w:r w:rsidR="003D455A">
        <w:t>36 months</w:t>
      </w:r>
      <w:r w:rsidR="00B1539D" w:rsidRPr="00432F22">
        <w:t>.</w:t>
      </w:r>
      <w:r w:rsidR="00387C54" w:rsidRPr="00432F22">
        <w:t xml:space="preserve"> </w:t>
      </w:r>
      <w:r w:rsidR="001E1AEB" w:rsidRPr="00432F22">
        <w:t>M</w:t>
      </w:r>
      <w:r w:rsidR="00A23B5D" w:rsidRPr="00432F22">
        <w:t xml:space="preserve">igration into food of BPA present in varnishes and coatings </w:t>
      </w:r>
      <w:r w:rsidR="00217623" w:rsidRPr="00432F22">
        <w:t xml:space="preserve">applied to the external surface of metal packaging </w:t>
      </w:r>
      <w:r w:rsidR="00A23B5D" w:rsidRPr="00432F22">
        <w:t xml:space="preserve">is normally prevented by the metal </w:t>
      </w:r>
      <w:r w:rsidR="00C5405A" w:rsidRPr="00432F22">
        <w:t>substrate</w:t>
      </w:r>
      <w:r w:rsidR="00FA1DBA" w:rsidRPr="00432F22">
        <w:t>,</w:t>
      </w:r>
      <w:r w:rsidR="00A23B5D" w:rsidRPr="00432F22">
        <w:t xml:space="preserve"> which acts as a barrier layer</w:t>
      </w:r>
      <w:r w:rsidR="00C5405A" w:rsidRPr="00432F22">
        <w:t>. However,</w:t>
      </w:r>
      <w:r w:rsidR="001E1AEB" w:rsidRPr="00432F22">
        <w:t xml:space="preserve"> it </w:t>
      </w:r>
      <w:r w:rsidR="001E1AEB" w:rsidRPr="00432F22" w:rsidDel="00A23B5D">
        <w:t xml:space="preserve">may occasionally transfer to the interior surface of the packaging that eventually comes into contact with food during the manufacturing of </w:t>
      </w:r>
      <w:r w:rsidR="002D7ADE" w:rsidRPr="00432F22">
        <w:t xml:space="preserve">varnished and </w:t>
      </w:r>
      <w:r w:rsidR="001E1AEB" w:rsidRPr="00432F22">
        <w:t xml:space="preserve">coated </w:t>
      </w:r>
      <w:r w:rsidR="00475679">
        <w:t xml:space="preserve">food contact </w:t>
      </w:r>
      <w:r w:rsidR="001E1AEB" w:rsidRPr="00432F22" w:rsidDel="00A23B5D">
        <w:t>materials and articles</w:t>
      </w:r>
      <w:r w:rsidR="003D455A">
        <w:t>,</w:t>
      </w:r>
      <w:r w:rsidR="001E1AEB" w:rsidRPr="00432F22" w:rsidDel="00A23B5D">
        <w:t xml:space="preserve"> either through direct contact as a result of ‘set-off’ or via vapour phase transfer. </w:t>
      </w:r>
      <w:r w:rsidR="00133CCB" w:rsidRPr="00432F22">
        <w:t>A</w:t>
      </w:r>
      <w:r w:rsidRPr="00432F22">
        <w:t xml:space="preserve">s </w:t>
      </w:r>
      <w:r w:rsidR="001E1AEB" w:rsidRPr="00432F22">
        <w:t>this</w:t>
      </w:r>
      <w:r w:rsidR="00FA1DBA" w:rsidRPr="00432F22">
        <w:t xml:space="preserve"> may</w:t>
      </w:r>
      <w:r w:rsidR="00A23B5D" w:rsidRPr="00432F22">
        <w:t xml:space="preserve"> be minimised or eliminated with </w:t>
      </w:r>
      <w:r w:rsidR="00B8260C">
        <w:t>GMP</w:t>
      </w:r>
      <w:r w:rsidR="00A23B5D" w:rsidRPr="00432F22">
        <w:t xml:space="preserve"> </w:t>
      </w:r>
      <w:r w:rsidRPr="00432F22">
        <w:t xml:space="preserve">which </w:t>
      </w:r>
      <w:r w:rsidR="00133CCB" w:rsidRPr="00432F22">
        <w:t>reduce the risk of</w:t>
      </w:r>
      <w:r w:rsidRPr="00432F22">
        <w:t xml:space="preserve"> such </w:t>
      </w:r>
      <w:r w:rsidR="003D455A">
        <w:t>transfer</w:t>
      </w:r>
      <w:r w:rsidR="00114CBA">
        <w:t>,</w:t>
      </w:r>
      <w:r w:rsidR="003D455A">
        <w:t xml:space="preserve"> </w:t>
      </w:r>
      <w:r w:rsidRPr="00432F22">
        <w:t xml:space="preserve">and as the function of the varnishes and coatings is </w:t>
      </w:r>
      <w:r w:rsidR="003D455A">
        <w:t xml:space="preserve">important in </w:t>
      </w:r>
      <w:r w:rsidR="003D455A" w:rsidRPr="00432F22">
        <w:t>ensur</w:t>
      </w:r>
      <w:r w:rsidR="003D455A">
        <w:t>ing</w:t>
      </w:r>
      <w:r w:rsidR="003D455A" w:rsidRPr="00432F22">
        <w:t xml:space="preserve"> </w:t>
      </w:r>
      <w:r w:rsidRPr="00432F22">
        <w:t xml:space="preserve">the integrity of the packaging </w:t>
      </w:r>
      <w:r w:rsidR="00A23B5D" w:rsidRPr="00432F22">
        <w:t>and</w:t>
      </w:r>
      <w:r w:rsidR="00FA1DBA" w:rsidRPr="00432F22">
        <w:t xml:space="preserve"> </w:t>
      </w:r>
      <w:r w:rsidRPr="00432F22">
        <w:t xml:space="preserve">safety of the food, it is appropriate to grant </w:t>
      </w:r>
      <w:r w:rsidR="001E1AEB" w:rsidRPr="00432F22">
        <w:t xml:space="preserve">a transition </w:t>
      </w:r>
      <w:r w:rsidR="003D455A">
        <w:t>period</w:t>
      </w:r>
      <w:r w:rsidR="00930B91">
        <w:t xml:space="preserve"> of 36 months</w:t>
      </w:r>
      <w:r w:rsidR="003D455A">
        <w:t>.</w:t>
      </w:r>
      <w:r w:rsidR="003D455A" w:rsidRPr="00432F22">
        <w:t xml:space="preserve"> </w:t>
      </w:r>
      <w:r w:rsidR="003D455A">
        <w:t>Such a period would enable a</w:t>
      </w:r>
      <w:r w:rsidR="00A23B5D" w:rsidRPr="00432F22">
        <w:t xml:space="preserve"> transition to </w:t>
      </w:r>
      <w:r w:rsidR="002C2D53" w:rsidRPr="00432F22">
        <w:t xml:space="preserve">final articles using </w:t>
      </w:r>
      <w:r w:rsidR="00FA1DBA" w:rsidRPr="00432F22">
        <w:t xml:space="preserve">varnishes and coatings </w:t>
      </w:r>
      <w:r w:rsidR="00C5405A" w:rsidRPr="00432F22">
        <w:t xml:space="preserve">manufactured without BPA </w:t>
      </w:r>
      <w:r w:rsidR="00980C4D" w:rsidRPr="00432F22">
        <w:t xml:space="preserve">to be </w:t>
      </w:r>
      <w:r w:rsidR="00FA1DBA" w:rsidRPr="00432F22">
        <w:t>applied to the external surface</w:t>
      </w:r>
      <w:r w:rsidR="00F2189C">
        <w:t>s</w:t>
      </w:r>
      <w:r w:rsidR="00FA1DBA" w:rsidRPr="00432F22">
        <w:t xml:space="preserve"> of metal packaging</w:t>
      </w:r>
      <w:r w:rsidR="001E1AEB" w:rsidRPr="00432F22">
        <w:t>.</w:t>
      </w:r>
    </w:p>
    <w:p w14:paraId="2D7E1A4D" w14:textId="3CB7B2B2" w:rsidR="009D64DA" w:rsidRDefault="00F83BF0" w:rsidP="00F83BF0">
      <w:pPr>
        <w:pStyle w:val="Considrant"/>
      </w:pPr>
      <w:r>
        <w:t xml:space="preserve">Single-use final food contact </w:t>
      </w:r>
      <w:r w:rsidR="00C0571A">
        <w:t>articles</w:t>
      </w:r>
      <w:r w:rsidR="00A738E5">
        <w:t>,</w:t>
      </w:r>
      <w:r>
        <w:t xml:space="preserve"> including m</w:t>
      </w:r>
      <w:r w:rsidRPr="00432F22">
        <w:t>etal packaging</w:t>
      </w:r>
      <w:r w:rsidR="00A738E5">
        <w:t>,</w:t>
      </w:r>
      <w:r>
        <w:t xml:space="preserve"> are</w:t>
      </w:r>
      <w:r w:rsidRPr="00432F22">
        <w:t xml:space="preserve"> often </w:t>
      </w:r>
      <w:r>
        <w:t xml:space="preserve">used </w:t>
      </w:r>
      <w:r w:rsidR="005F7000">
        <w:t>to package</w:t>
      </w:r>
      <w:r w:rsidR="00C0571A">
        <w:t xml:space="preserve"> food</w:t>
      </w:r>
      <w:r w:rsidRPr="00432F22">
        <w:t xml:space="preserve"> with a long shelf-life and may </w:t>
      </w:r>
      <w:r w:rsidR="005F7000">
        <w:t xml:space="preserve">thus </w:t>
      </w:r>
      <w:r w:rsidRPr="00432F22">
        <w:t xml:space="preserve">be stored and consumed for </w:t>
      </w:r>
      <w:r w:rsidR="00C0571A">
        <w:t xml:space="preserve">a </w:t>
      </w:r>
      <w:r w:rsidR="005F7000">
        <w:t xml:space="preserve">number of years </w:t>
      </w:r>
      <w:r>
        <w:t xml:space="preserve">after the food is packaged, </w:t>
      </w:r>
      <w:r w:rsidRPr="00432F22">
        <w:t xml:space="preserve">during which time </w:t>
      </w:r>
      <w:r>
        <w:t xml:space="preserve">migration and </w:t>
      </w:r>
      <w:r w:rsidRPr="00432F22">
        <w:t xml:space="preserve">exposure to BPA will continue. </w:t>
      </w:r>
      <w:r w:rsidR="005F7000">
        <w:t>In order to limit the period of time during which food packaged in single-use final food contact articles containing BPA will be consumed, s</w:t>
      </w:r>
      <w:r w:rsidRPr="00432F22">
        <w:t xml:space="preserve">uch single-use final food contact articles for packaging food should be filled with food </w:t>
      </w:r>
      <w:r w:rsidR="005F7000">
        <w:t xml:space="preserve">and sealed </w:t>
      </w:r>
      <w:r w:rsidRPr="00432F22">
        <w:t xml:space="preserve">within 12 months from the end of the respective transitional periods. </w:t>
      </w:r>
      <w:r>
        <w:t xml:space="preserve">Thereafter, </w:t>
      </w:r>
      <w:r w:rsidR="009D64DA" w:rsidRPr="00432F22">
        <w:t xml:space="preserve">it is </w:t>
      </w:r>
      <w:r w:rsidR="005F7000">
        <w:t xml:space="preserve">nonetheless </w:t>
      </w:r>
      <w:r w:rsidR="009D64DA" w:rsidRPr="00432F22">
        <w:t xml:space="preserve">appropriate to allow </w:t>
      </w:r>
      <w:r>
        <w:t xml:space="preserve">the </w:t>
      </w:r>
      <w:r w:rsidR="00A738E5">
        <w:t xml:space="preserve">placing on the market of </w:t>
      </w:r>
      <w:r>
        <w:t>packaged food</w:t>
      </w:r>
      <w:r w:rsidR="009D64DA" w:rsidRPr="00432F22">
        <w:t xml:space="preserve"> until exhaustion of stocks, </w:t>
      </w:r>
      <w:r>
        <w:t xml:space="preserve">in order to avoid </w:t>
      </w:r>
      <w:r w:rsidR="005F7000">
        <w:t xml:space="preserve">food waste and </w:t>
      </w:r>
      <w:r>
        <w:t xml:space="preserve">disruption of food supply chains. </w:t>
      </w:r>
    </w:p>
    <w:p w14:paraId="59C3BC7C" w14:textId="77777777" w:rsidR="00EB6C0C" w:rsidRPr="00432F22" w:rsidRDefault="00FD29B3" w:rsidP="00E87240">
      <w:pPr>
        <w:pStyle w:val="Considrant"/>
      </w:pPr>
      <w:r w:rsidRPr="00432F22">
        <w:t>C</w:t>
      </w:r>
      <w:r w:rsidR="00590CDD" w:rsidRPr="00432F22">
        <w:t xml:space="preserve">ertain </w:t>
      </w:r>
      <w:r w:rsidR="00BF7E7A" w:rsidRPr="00432F22">
        <w:t>final food contact articles</w:t>
      </w:r>
      <w:r w:rsidR="00590CDD" w:rsidRPr="00432F22">
        <w:t xml:space="preserve"> manufactured with BPA are used as </w:t>
      </w:r>
      <w:r w:rsidR="00BF7E7A" w:rsidRPr="00432F22">
        <w:t xml:space="preserve">repeat-use </w:t>
      </w:r>
      <w:r w:rsidR="00590CDD" w:rsidRPr="00432F22">
        <w:t>components in</w:t>
      </w:r>
      <w:r w:rsidR="00284BAD" w:rsidRPr="00432F22">
        <w:t xml:space="preserve"> professional food </w:t>
      </w:r>
      <w:r w:rsidR="00BD707A">
        <w:t>production</w:t>
      </w:r>
      <w:r w:rsidR="008F2C8F" w:rsidRPr="00432F22">
        <w:t xml:space="preserve"> </w:t>
      </w:r>
      <w:r w:rsidR="00284BAD" w:rsidRPr="00432F22">
        <w:t>equipment</w:t>
      </w:r>
      <w:r w:rsidR="002E186E" w:rsidRPr="00432F22">
        <w:t xml:space="preserve">, such as </w:t>
      </w:r>
      <w:r w:rsidR="00484F35">
        <w:t xml:space="preserve">confectionary </w:t>
      </w:r>
      <w:r w:rsidR="00A7210F">
        <w:t xml:space="preserve">moulds, </w:t>
      </w:r>
      <w:r w:rsidR="002E186E" w:rsidRPr="00432F22">
        <w:t>seals, pumps</w:t>
      </w:r>
      <w:r w:rsidR="00234D4A" w:rsidRPr="00432F22">
        <w:t>, flanges, gauges and sight glasses</w:t>
      </w:r>
      <w:r w:rsidR="00C22CDB" w:rsidRPr="00432F22">
        <w:t>.</w:t>
      </w:r>
      <w:r w:rsidR="00920153" w:rsidRPr="00432F22">
        <w:t xml:space="preserve"> </w:t>
      </w:r>
      <w:r w:rsidR="004D5A5F">
        <w:t xml:space="preserve">Not all of these </w:t>
      </w:r>
      <w:r w:rsidR="004D5A5F" w:rsidRPr="00432F22">
        <w:t xml:space="preserve">repeat-use final food contact articles used </w:t>
      </w:r>
      <w:r w:rsidR="004D5A5F">
        <w:t>as</w:t>
      </w:r>
      <w:r w:rsidR="004D5A5F" w:rsidRPr="00432F22">
        <w:t xml:space="preserve"> professional food production equipment </w:t>
      </w:r>
      <w:r w:rsidR="00A7210F">
        <w:t xml:space="preserve">can </w:t>
      </w:r>
      <w:r w:rsidR="004D5A5F">
        <w:t xml:space="preserve">be </w:t>
      </w:r>
      <w:r w:rsidR="00A7210F">
        <w:t xml:space="preserve">easily </w:t>
      </w:r>
      <w:r w:rsidR="00475679">
        <w:t xml:space="preserve">manufactured </w:t>
      </w:r>
      <w:r w:rsidR="00484F35">
        <w:t xml:space="preserve">with materials </w:t>
      </w:r>
      <w:r w:rsidR="00475679">
        <w:t>that do not need</w:t>
      </w:r>
      <w:r w:rsidR="00A7210F">
        <w:t xml:space="preserve"> BPA</w:t>
      </w:r>
      <w:r w:rsidR="00475679">
        <w:t xml:space="preserve"> </w:t>
      </w:r>
      <w:r w:rsidR="004F7BCB">
        <w:t>in their manufacture</w:t>
      </w:r>
      <w:r w:rsidR="00A738E5">
        <w:t xml:space="preserve">. </w:t>
      </w:r>
      <w:r w:rsidR="004F7BCB">
        <w:t>R</w:t>
      </w:r>
      <w:r w:rsidR="00A7210F">
        <w:t>eplacement articles</w:t>
      </w:r>
      <w:r w:rsidR="008A0114" w:rsidRPr="00432F22">
        <w:t xml:space="preserve"> </w:t>
      </w:r>
      <w:r w:rsidR="004F7BCB">
        <w:t xml:space="preserve">often </w:t>
      </w:r>
      <w:r w:rsidR="00DF07CB" w:rsidRPr="00432F22">
        <w:t xml:space="preserve">need to be designed and produced taking into account their function and interaction with other components </w:t>
      </w:r>
      <w:r w:rsidR="00871D6E" w:rsidRPr="00432F22">
        <w:t xml:space="preserve">as part of an overall food production or processing system, </w:t>
      </w:r>
      <w:r w:rsidR="00DF07CB" w:rsidRPr="00432F22">
        <w:t xml:space="preserve">to avoid the need to replace the entire system. </w:t>
      </w:r>
      <w:r w:rsidR="007823ED" w:rsidRPr="00432F22">
        <w:t xml:space="preserve">Taking these factors into </w:t>
      </w:r>
      <w:r w:rsidR="007823ED" w:rsidRPr="00432F22">
        <w:lastRenderedPageBreak/>
        <w:t>account</w:t>
      </w:r>
      <w:r w:rsidR="00DF07CB" w:rsidRPr="00432F22">
        <w:t>,</w:t>
      </w:r>
      <w:r w:rsidR="001D686A" w:rsidRPr="00432F22">
        <w:t xml:space="preserve"> </w:t>
      </w:r>
      <w:r w:rsidR="00E51D9E" w:rsidRPr="00432F22">
        <w:t xml:space="preserve">it is appropriate to allow for a transition </w:t>
      </w:r>
      <w:r w:rsidR="003D455A">
        <w:t>period</w:t>
      </w:r>
      <w:r w:rsidR="003D455A" w:rsidRPr="00432F22">
        <w:t xml:space="preserve"> </w:t>
      </w:r>
      <w:r w:rsidR="00930B91">
        <w:t xml:space="preserve">of 36 months </w:t>
      </w:r>
      <w:r w:rsidR="004A4C12" w:rsidRPr="00432F22">
        <w:t xml:space="preserve">for </w:t>
      </w:r>
      <w:r w:rsidR="004D5A5F">
        <w:t xml:space="preserve">such </w:t>
      </w:r>
      <w:r w:rsidR="00131524" w:rsidRPr="00432F22">
        <w:t>final</w:t>
      </w:r>
      <w:r w:rsidR="004A4C12" w:rsidRPr="00432F22">
        <w:t xml:space="preserve"> </w:t>
      </w:r>
      <w:r w:rsidR="00042E9B">
        <w:t xml:space="preserve">food contact </w:t>
      </w:r>
      <w:r w:rsidR="004A4C12" w:rsidRPr="00432F22">
        <w:t xml:space="preserve">articles, </w:t>
      </w:r>
      <w:r w:rsidR="00584E3B" w:rsidRPr="00432F22">
        <w:t>in order to</w:t>
      </w:r>
      <w:r w:rsidR="004A4C12" w:rsidRPr="00432F22">
        <w:t xml:space="preserve"> ensure food supply continuity, whilst also recognising the need to direct business operators to make progress in </w:t>
      </w:r>
      <w:r w:rsidR="00C05750" w:rsidRPr="00432F22">
        <w:t>phasing out</w:t>
      </w:r>
      <w:r w:rsidR="004A4C12" w:rsidRPr="00432F22">
        <w:t xml:space="preserve"> BPA-based technologies and </w:t>
      </w:r>
      <w:r w:rsidR="00F2189C" w:rsidRPr="00432F22">
        <w:t xml:space="preserve">eventually </w:t>
      </w:r>
      <w:r w:rsidR="004A4C12" w:rsidRPr="00432F22">
        <w:t>to replace them</w:t>
      </w:r>
      <w:r w:rsidR="00C05750" w:rsidRPr="00432F22">
        <w:t xml:space="preserve"> altogether</w:t>
      </w:r>
      <w:r w:rsidR="00E51D9E" w:rsidRPr="00432F22">
        <w:t>.</w:t>
      </w:r>
      <w:r w:rsidR="00AF59B2" w:rsidRPr="00432F22">
        <w:t xml:space="preserve"> </w:t>
      </w:r>
    </w:p>
    <w:p w14:paraId="4522C9F2" w14:textId="755E7939" w:rsidR="00860CC5" w:rsidRPr="00432F22" w:rsidRDefault="00B16E30" w:rsidP="00F50C8E">
      <w:pPr>
        <w:pStyle w:val="Considrant"/>
      </w:pPr>
      <w:r>
        <w:t xml:space="preserve">For repeat-use </w:t>
      </w:r>
      <w:r w:rsidR="003604DB">
        <w:t xml:space="preserve">final </w:t>
      </w:r>
      <w:r>
        <w:t xml:space="preserve">food contact articles, </w:t>
      </w:r>
      <w:r w:rsidR="00EA316F">
        <w:t xml:space="preserve">in order to avoid that distributors create large stocks of articles covered by the transitional measures laid down in this Regulation, it is appropriate that such articles </w:t>
      </w:r>
      <w:r w:rsidR="003604DB">
        <w:t xml:space="preserve">that </w:t>
      </w:r>
      <w:r w:rsidR="00EA316F">
        <w:t xml:space="preserve">have been </w:t>
      </w:r>
      <w:r w:rsidR="003604DB">
        <w:t xml:space="preserve">first </w:t>
      </w:r>
      <w:r w:rsidR="00EA316F">
        <w:t xml:space="preserve">placed on the market by their manufacturers, may continue to be placed on the market </w:t>
      </w:r>
      <w:r w:rsidR="003604DB">
        <w:t>to sell and pass on to customers, including food</w:t>
      </w:r>
      <w:r w:rsidR="00EA316F">
        <w:t xml:space="preserve"> business operators or consumers</w:t>
      </w:r>
      <w:r w:rsidR="003604DB">
        <w:t>,</w:t>
      </w:r>
      <w:r w:rsidR="00EA316F">
        <w:t xml:space="preserve"> for </w:t>
      </w:r>
      <w:r w:rsidR="003604DB">
        <w:t xml:space="preserve">a </w:t>
      </w:r>
      <w:r w:rsidR="004F7BCB">
        <w:t xml:space="preserve">maximum </w:t>
      </w:r>
      <w:r w:rsidR="003604DB">
        <w:t>period of</w:t>
      </w:r>
      <w:r w:rsidR="00EA316F">
        <w:t xml:space="preserve"> one year</w:t>
      </w:r>
      <w:r w:rsidR="00F50C8E">
        <w:t>. In the case of</w:t>
      </w:r>
      <w:r w:rsidR="00860CC5">
        <w:t xml:space="preserve"> r</w:t>
      </w:r>
      <w:r w:rsidR="00860CC5" w:rsidRPr="00432F22">
        <w:t>epeat-use final food contact article</w:t>
      </w:r>
      <w:r w:rsidR="004F7BCB">
        <w:t>s</w:t>
      </w:r>
      <w:r w:rsidR="00860CC5" w:rsidRPr="00432F22">
        <w:t xml:space="preserve"> used </w:t>
      </w:r>
      <w:r w:rsidR="00F50C8E">
        <w:t>as</w:t>
      </w:r>
      <w:r w:rsidR="00860CC5" w:rsidRPr="00432F22">
        <w:t xml:space="preserve"> professional food production equipment</w:t>
      </w:r>
      <w:r w:rsidR="00F50C8E">
        <w:t>,</w:t>
      </w:r>
      <w:r w:rsidR="00860CC5">
        <w:t xml:space="preserve"> </w:t>
      </w:r>
      <w:r w:rsidR="00F50C8E">
        <w:t xml:space="preserve">it </w:t>
      </w:r>
      <w:r w:rsidR="003604DB">
        <w:t>would be neither</w:t>
      </w:r>
      <w:r w:rsidR="00F50C8E">
        <w:t xml:space="preserve"> practical </w:t>
      </w:r>
      <w:r w:rsidR="003604DB">
        <w:t xml:space="preserve">nor efficient </w:t>
      </w:r>
      <w:r w:rsidR="00F50C8E">
        <w:t xml:space="preserve">to </w:t>
      </w:r>
      <w:r w:rsidR="003604DB">
        <w:t xml:space="preserve">discontinue and remove </w:t>
      </w:r>
      <w:r w:rsidR="004F7BCB">
        <w:t xml:space="preserve">them </w:t>
      </w:r>
      <w:r w:rsidR="003604DB">
        <w:t>from use</w:t>
      </w:r>
      <w:r w:rsidR="004F7BCB">
        <w:t xml:space="preserve"> as they</w:t>
      </w:r>
      <w:r w:rsidR="00F50C8E">
        <w:t xml:space="preserve"> often form part of a larger system and may necessitate an immediate replacement of that system in its entirety, with disproportionate costs and burden to food businesses, including </w:t>
      </w:r>
      <w:r w:rsidR="00114CBA">
        <w:t>SMEs</w:t>
      </w:r>
      <w:r w:rsidR="00F50C8E" w:rsidRPr="00432F22">
        <w:t>.</w:t>
      </w:r>
      <w:r w:rsidR="00F50C8E">
        <w:t xml:space="preserve"> Food businesses </w:t>
      </w:r>
      <w:r w:rsidR="00860CC5">
        <w:t xml:space="preserve">may </w:t>
      </w:r>
      <w:r w:rsidR="00F50C8E">
        <w:t xml:space="preserve">therefore continue to </w:t>
      </w:r>
      <w:r w:rsidR="00860CC5">
        <w:t>use that r</w:t>
      </w:r>
      <w:r w:rsidR="00860CC5" w:rsidRPr="00432F22">
        <w:t xml:space="preserve">epeat-use final food contact article </w:t>
      </w:r>
      <w:r w:rsidR="00860CC5">
        <w:t>until such time that the article ceases to be functional</w:t>
      </w:r>
      <w:r w:rsidR="004F7BCB">
        <w:t xml:space="preserve"> and need to be replaced</w:t>
      </w:r>
      <w:r w:rsidR="00860CC5">
        <w:t>.</w:t>
      </w:r>
      <w:r w:rsidR="00F83BF0">
        <w:t xml:space="preserve"> </w:t>
      </w:r>
    </w:p>
    <w:p w14:paraId="62AA2E24" w14:textId="77777777" w:rsidR="00B64E7C" w:rsidRPr="00432F22" w:rsidRDefault="00482EF8" w:rsidP="00EE1FB3">
      <w:pPr>
        <w:pStyle w:val="Considrant"/>
      </w:pPr>
      <w:r w:rsidRPr="00432F22">
        <w:t>The measures provided for in this Regulation supersede the measures laid down in Regulation (EU) 2018/213. It is therefore appropriate to repeal that Regulation.</w:t>
      </w:r>
    </w:p>
    <w:p w14:paraId="35B90421" w14:textId="77777777" w:rsidR="00EE1FB3" w:rsidRPr="00432F22" w:rsidRDefault="00EE1FB3" w:rsidP="00EE1FB3">
      <w:pPr>
        <w:pStyle w:val="Considrant"/>
      </w:pPr>
      <w:r w:rsidRPr="00432F22">
        <w:t>The measures provided for in this Regulation are in accordance with the opinion of the </w:t>
      </w:r>
      <w:r w:rsidR="00E97F6C" w:rsidRPr="00432F22">
        <w:t>Standing Committee on Plants, Animals, Food and Feed.</w:t>
      </w:r>
    </w:p>
    <w:p w14:paraId="15E032CB" w14:textId="77777777" w:rsidR="00EE1FB3" w:rsidRPr="00432F22" w:rsidRDefault="00EE1FB3">
      <w:pPr>
        <w:pStyle w:val="Formuledadoption"/>
      </w:pPr>
      <w:r w:rsidRPr="00432F22">
        <w:t>HAS ADOPTED THIS REGULATION:</w:t>
      </w:r>
    </w:p>
    <w:p w14:paraId="55095030" w14:textId="77777777" w:rsidR="006D241D" w:rsidRPr="00432F22" w:rsidRDefault="006D241D" w:rsidP="006D241D">
      <w:pPr>
        <w:pStyle w:val="Titrearticle"/>
      </w:pPr>
      <w:r w:rsidRPr="00432F22">
        <w:t>Article 1</w:t>
      </w:r>
    </w:p>
    <w:p w14:paraId="6156355A" w14:textId="77777777" w:rsidR="006D241D" w:rsidRPr="00432F22" w:rsidRDefault="006D241D" w:rsidP="006D241D">
      <w:pPr>
        <w:jc w:val="center"/>
        <w:rPr>
          <w:i/>
        </w:rPr>
      </w:pPr>
      <w:r w:rsidRPr="00432F22">
        <w:rPr>
          <w:i/>
        </w:rPr>
        <w:t>Subject matter and scope</w:t>
      </w:r>
    </w:p>
    <w:p w14:paraId="43499776" w14:textId="77777777" w:rsidR="006D241D" w:rsidRPr="00432F22" w:rsidRDefault="006D241D" w:rsidP="005A632D">
      <w:pPr>
        <w:pStyle w:val="NumPar1"/>
        <w:numPr>
          <w:ilvl w:val="0"/>
          <w:numId w:val="23"/>
        </w:numPr>
      </w:pPr>
      <w:r w:rsidRPr="00432F22">
        <w:t>This Regulation is a specific measure within the meaning of Article 5 of Regulation (EC) No 1935/2004.</w:t>
      </w:r>
    </w:p>
    <w:p w14:paraId="79445491" w14:textId="77777777" w:rsidR="006D241D" w:rsidRPr="00432F22" w:rsidRDefault="006D241D" w:rsidP="008D00D1">
      <w:pPr>
        <w:pStyle w:val="NumPar1"/>
      </w:pPr>
      <w:r w:rsidRPr="00432F22">
        <w:t xml:space="preserve">This Regulation </w:t>
      </w:r>
      <w:r w:rsidR="00433F4D" w:rsidRPr="00432F22">
        <w:t xml:space="preserve">establishes specific requirements </w:t>
      </w:r>
      <w:r w:rsidR="00871287">
        <w:t>concerning</w:t>
      </w:r>
      <w:r w:rsidR="00871287" w:rsidRPr="00432F22">
        <w:t xml:space="preserve"> </w:t>
      </w:r>
      <w:r w:rsidR="00D329BC" w:rsidRPr="00432F22">
        <w:t>4,4</w:t>
      </w:r>
      <w:r w:rsidR="00871287">
        <w:t>’</w:t>
      </w:r>
      <w:r w:rsidR="00D329BC" w:rsidRPr="00432F22">
        <w:t>-isopropylidenediphenol (</w:t>
      </w:r>
      <w:r w:rsidR="002E3EE7">
        <w:t xml:space="preserve">‘bisphenol A’ or </w:t>
      </w:r>
      <w:r w:rsidR="00D329BC" w:rsidRPr="00432F22">
        <w:t>‘BPA’) (CAS No 80-05-7)</w:t>
      </w:r>
      <w:r w:rsidR="00D329BC">
        <w:t xml:space="preserve"> </w:t>
      </w:r>
      <w:r w:rsidR="001804E3">
        <w:t xml:space="preserve">and its salts as well as </w:t>
      </w:r>
      <w:r w:rsidR="00D329BC" w:rsidRPr="00432F22">
        <w:t xml:space="preserve">other </w:t>
      </w:r>
      <w:r w:rsidR="000B6F83">
        <w:t xml:space="preserve">hazardous </w:t>
      </w:r>
      <w:r w:rsidR="00D329BC" w:rsidRPr="00432F22">
        <w:t xml:space="preserve">bisphenols </w:t>
      </w:r>
      <w:r w:rsidR="003604DB">
        <w:t xml:space="preserve">and </w:t>
      </w:r>
      <w:r w:rsidR="00A01E3C">
        <w:t xml:space="preserve">hazardous bisphenol </w:t>
      </w:r>
      <w:r w:rsidR="003604DB">
        <w:t>derivatives</w:t>
      </w:r>
      <w:r w:rsidR="00871287">
        <w:t>,</w:t>
      </w:r>
      <w:r w:rsidR="00D329BC">
        <w:t xml:space="preserve"> </w:t>
      </w:r>
      <w:r w:rsidR="00871287">
        <w:t xml:space="preserve">as regards their use </w:t>
      </w:r>
      <w:r w:rsidR="00D329BC">
        <w:t>in the manufacture of</w:t>
      </w:r>
      <w:r w:rsidR="00FD5974">
        <w:t xml:space="preserve"> </w:t>
      </w:r>
      <w:r w:rsidR="00D329BC">
        <w:t xml:space="preserve">the following groups of </w:t>
      </w:r>
      <w:r w:rsidR="007E2A31" w:rsidRPr="00432F22">
        <w:t>food contact materials and articles falling within the scope of Article 1(2) of Regulation (EC) No 1935/2004</w:t>
      </w:r>
      <w:r w:rsidR="003604DB">
        <w:t>, which are</w:t>
      </w:r>
      <w:r w:rsidR="004965E7" w:rsidRPr="00432F22">
        <w:t xml:space="preserve"> placed on the Union market</w:t>
      </w:r>
      <w:r w:rsidRPr="00432F22">
        <w:t>:</w:t>
      </w:r>
    </w:p>
    <w:p w14:paraId="4D6D428D" w14:textId="77777777" w:rsidR="00D63CBA" w:rsidRDefault="00D63CBA" w:rsidP="00431373">
      <w:pPr>
        <w:pStyle w:val="Point1letter"/>
        <w:numPr>
          <w:ilvl w:val="3"/>
          <w:numId w:val="5"/>
        </w:numPr>
      </w:pPr>
      <w:r>
        <w:t>adhesives;</w:t>
      </w:r>
    </w:p>
    <w:p w14:paraId="739EE912" w14:textId="77777777" w:rsidR="006D241D" w:rsidRPr="00432F22" w:rsidRDefault="00C05750" w:rsidP="00431373">
      <w:pPr>
        <w:pStyle w:val="Point1letter"/>
        <w:numPr>
          <w:ilvl w:val="3"/>
          <w:numId w:val="5"/>
        </w:numPr>
      </w:pPr>
      <w:r w:rsidRPr="00432F22">
        <w:t>rubbers;</w:t>
      </w:r>
    </w:p>
    <w:p w14:paraId="32604D2D" w14:textId="77777777" w:rsidR="00F26894" w:rsidRPr="00432F22" w:rsidRDefault="00D329BC" w:rsidP="006D241D">
      <w:pPr>
        <w:pStyle w:val="Point1letter"/>
      </w:pPr>
      <w:r>
        <w:t>ion-exchange resins</w:t>
      </w:r>
      <w:r w:rsidR="006D241D" w:rsidRPr="00432F22">
        <w:t>;</w:t>
      </w:r>
    </w:p>
    <w:p w14:paraId="337D9815" w14:textId="77777777" w:rsidR="00D329BC" w:rsidRDefault="00D329BC" w:rsidP="006D241D">
      <w:pPr>
        <w:pStyle w:val="Point1letter"/>
      </w:pPr>
      <w:r>
        <w:t>plastics;</w:t>
      </w:r>
    </w:p>
    <w:p w14:paraId="74402435" w14:textId="77777777" w:rsidR="00D329BC" w:rsidRDefault="00D329BC" w:rsidP="006D241D">
      <w:pPr>
        <w:pStyle w:val="Point1letter"/>
      </w:pPr>
      <w:r>
        <w:t>printing inks;</w:t>
      </w:r>
    </w:p>
    <w:p w14:paraId="5BBA0980" w14:textId="77777777" w:rsidR="00D329BC" w:rsidRDefault="00D329BC" w:rsidP="006D241D">
      <w:pPr>
        <w:pStyle w:val="Point1letter"/>
      </w:pPr>
      <w:r>
        <w:t>silicones; and</w:t>
      </w:r>
    </w:p>
    <w:p w14:paraId="0B0B6445" w14:textId="77777777" w:rsidR="006D241D" w:rsidRDefault="00D329BC" w:rsidP="006D241D">
      <w:pPr>
        <w:pStyle w:val="Point1letter"/>
      </w:pPr>
      <w:r>
        <w:t>varnishes and coatings</w:t>
      </w:r>
      <w:r w:rsidR="006D241D" w:rsidRPr="00432F22">
        <w:t>.</w:t>
      </w:r>
    </w:p>
    <w:p w14:paraId="4F126CB4" w14:textId="0BAE48C1" w:rsidR="00DC1409" w:rsidRPr="00432F22" w:rsidRDefault="00204C8B" w:rsidP="00DC1409">
      <w:pPr>
        <w:pStyle w:val="NumPar1"/>
      </w:pPr>
      <w:r>
        <w:t xml:space="preserve">This Regulation also establishes specific requirements on the content of BPA in food contact </w:t>
      </w:r>
      <w:r w:rsidR="00FC48D5">
        <w:t xml:space="preserve">materials and </w:t>
      </w:r>
      <w:r w:rsidR="008C564D">
        <w:t>articles</w:t>
      </w:r>
      <w:r>
        <w:t xml:space="preserve">, which have been manufactured using </w:t>
      </w:r>
      <w:r w:rsidR="00593D9E">
        <w:t xml:space="preserve">another bisphenol or bisphenol </w:t>
      </w:r>
      <w:r>
        <w:t>derivative</w:t>
      </w:r>
      <w:r w:rsidR="00DC1409">
        <w:t>.</w:t>
      </w:r>
    </w:p>
    <w:p w14:paraId="10E113BB" w14:textId="77777777" w:rsidR="00BC357A" w:rsidRPr="00432F22" w:rsidRDefault="00EE1FB3">
      <w:pPr>
        <w:pStyle w:val="Titrearticle"/>
      </w:pPr>
      <w:r w:rsidRPr="00432F22">
        <w:lastRenderedPageBreak/>
        <w:t xml:space="preserve">Article </w:t>
      </w:r>
      <w:r w:rsidR="006D241D" w:rsidRPr="00432F22">
        <w:t>2</w:t>
      </w:r>
      <w:r w:rsidR="006A6F50" w:rsidRPr="00432F22">
        <w:t xml:space="preserve"> </w:t>
      </w:r>
    </w:p>
    <w:p w14:paraId="25BE9459" w14:textId="77777777" w:rsidR="00EE1FB3" w:rsidRPr="00432F22" w:rsidRDefault="00CF375B" w:rsidP="005E1894">
      <w:pPr>
        <w:pStyle w:val="NormalCentered"/>
        <w:rPr>
          <w:i/>
          <w:iCs/>
        </w:rPr>
      </w:pPr>
      <w:r w:rsidRPr="00432F22">
        <w:rPr>
          <w:i/>
          <w:iCs/>
        </w:rPr>
        <w:t>D</w:t>
      </w:r>
      <w:r w:rsidR="006A6F50" w:rsidRPr="00432F22">
        <w:rPr>
          <w:i/>
          <w:iCs/>
        </w:rPr>
        <w:t>efinitions</w:t>
      </w:r>
    </w:p>
    <w:p w14:paraId="1B4DE2A4" w14:textId="77777777" w:rsidR="00143205" w:rsidRPr="00432F22" w:rsidRDefault="00143205" w:rsidP="00431373">
      <w:pPr>
        <w:pStyle w:val="NumPar1"/>
        <w:numPr>
          <w:ilvl w:val="0"/>
          <w:numId w:val="9"/>
        </w:numPr>
      </w:pPr>
      <w:r w:rsidRPr="00432F22">
        <w:t>For the purposes of this Regulation, the definitions in Article 3 of Regulation (EU) No 10/2011 shall apply.</w:t>
      </w:r>
    </w:p>
    <w:p w14:paraId="15FC6BEC" w14:textId="77777777" w:rsidR="00EE1FB3" w:rsidRPr="00432F22" w:rsidRDefault="00FF79CF" w:rsidP="00431373">
      <w:pPr>
        <w:pStyle w:val="NumPar1"/>
        <w:numPr>
          <w:ilvl w:val="0"/>
          <w:numId w:val="9"/>
        </w:numPr>
      </w:pPr>
      <w:r w:rsidRPr="00432F22">
        <w:t xml:space="preserve">For the purposes of this Regulation, the following definitions shall </w:t>
      </w:r>
      <w:r w:rsidR="00143205" w:rsidRPr="00432F22">
        <w:t xml:space="preserve">also </w:t>
      </w:r>
      <w:r w:rsidRPr="00432F22">
        <w:t>apply:</w:t>
      </w:r>
    </w:p>
    <w:p w14:paraId="0FC4F502" w14:textId="77777777" w:rsidR="00791C9E" w:rsidRPr="00432F22" w:rsidRDefault="00791C9E" w:rsidP="00431373">
      <w:pPr>
        <w:pStyle w:val="Point1letter"/>
        <w:numPr>
          <w:ilvl w:val="3"/>
          <w:numId w:val="10"/>
        </w:numPr>
      </w:pPr>
      <w:r w:rsidRPr="00432F22">
        <w:t xml:space="preserve">‘final </w:t>
      </w:r>
      <w:r w:rsidR="004B00BB" w:rsidRPr="00432F22">
        <w:t xml:space="preserve">food contact </w:t>
      </w:r>
      <w:r w:rsidRPr="00432F22">
        <w:t>article</w:t>
      </w:r>
      <w:r w:rsidR="00593D9E">
        <w:t>s</w:t>
      </w:r>
      <w:r w:rsidRPr="00432F22">
        <w:t>’ means</w:t>
      </w:r>
      <w:r w:rsidR="00576016" w:rsidRPr="00432F22">
        <w:t xml:space="preserve"> </w:t>
      </w:r>
      <w:r w:rsidRPr="00432F22">
        <w:t>product</w:t>
      </w:r>
      <w:r w:rsidR="00593D9E">
        <w:t>s</w:t>
      </w:r>
      <w:r w:rsidRPr="00432F22">
        <w:t xml:space="preserve"> composed of one or more </w:t>
      </w:r>
      <w:r w:rsidR="00475679">
        <w:t xml:space="preserve">food contact </w:t>
      </w:r>
      <w:r w:rsidRPr="00432F22">
        <w:t>materials</w:t>
      </w:r>
      <w:r w:rsidR="008C564D">
        <w:t xml:space="preserve"> and articles</w:t>
      </w:r>
      <w:r w:rsidRPr="00432F22">
        <w:t xml:space="preserve"> that </w:t>
      </w:r>
      <w:r w:rsidR="00D329BC">
        <w:t xml:space="preserve">fall within the scope of Article 1(2) of Regulation (EC) 1935/2004, which </w:t>
      </w:r>
      <w:r w:rsidRPr="00432F22">
        <w:t xml:space="preserve">are in their </w:t>
      </w:r>
      <w:r w:rsidR="007A4369" w:rsidRPr="00432F22">
        <w:t>finished state</w:t>
      </w:r>
      <w:r w:rsidR="00E126F9" w:rsidRPr="00432F22">
        <w:t xml:space="preserve"> </w:t>
      </w:r>
      <w:r w:rsidR="0089779A" w:rsidRPr="00432F22">
        <w:t>for end use</w:t>
      </w:r>
      <w:r w:rsidRPr="00432F22">
        <w:t xml:space="preserve">, </w:t>
      </w:r>
      <w:r w:rsidR="002F627B" w:rsidRPr="00432F22">
        <w:t xml:space="preserve">without </w:t>
      </w:r>
      <w:r w:rsidR="00A45309" w:rsidRPr="00432F22">
        <w:t>undergo</w:t>
      </w:r>
      <w:r w:rsidR="002F627B" w:rsidRPr="00432F22">
        <w:t>ing</w:t>
      </w:r>
      <w:r w:rsidRPr="00432F22">
        <w:t xml:space="preserve"> </w:t>
      </w:r>
      <w:r w:rsidR="00D329BC">
        <w:t xml:space="preserve">any </w:t>
      </w:r>
      <w:r w:rsidRPr="00432F22">
        <w:t xml:space="preserve">further </w:t>
      </w:r>
      <w:r w:rsidR="007870E1" w:rsidRPr="00432F22">
        <w:t>chemical</w:t>
      </w:r>
      <w:r w:rsidR="00E126F9" w:rsidRPr="00432F22">
        <w:t>, biological</w:t>
      </w:r>
      <w:r w:rsidR="007870E1" w:rsidRPr="00432F22">
        <w:t xml:space="preserve"> or physical </w:t>
      </w:r>
      <w:r w:rsidRPr="00432F22">
        <w:t>processing</w:t>
      </w:r>
      <w:r w:rsidR="007870E1" w:rsidRPr="00432F22">
        <w:t xml:space="preserve"> or modification</w:t>
      </w:r>
      <w:r w:rsidR="00D329BC">
        <w:t>, except</w:t>
      </w:r>
      <w:r w:rsidR="002F627B" w:rsidRPr="00432F22">
        <w:t xml:space="preserve"> the</w:t>
      </w:r>
      <w:r w:rsidR="001B0278">
        <w:t>ir</w:t>
      </w:r>
      <w:r w:rsidR="002F627B" w:rsidRPr="00432F22">
        <w:t xml:space="preserve"> </w:t>
      </w:r>
      <w:r w:rsidR="00166EF0">
        <w:t xml:space="preserve">further </w:t>
      </w:r>
      <w:r w:rsidR="00171C4C" w:rsidRPr="00432F22">
        <w:t xml:space="preserve">processing or modification </w:t>
      </w:r>
      <w:r w:rsidR="00593D9E" w:rsidRPr="00432F22">
        <w:t>for filling with food</w:t>
      </w:r>
      <w:r w:rsidR="00593D9E">
        <w:t xml:space="preserve">, in order for them </w:t>
      </w:r>
      <w:r w:rsidR="00D329BC">
        <w:t xml:space="preserve">to be </w:t>
      </w:r>
      <w:r w:rsidR="00576016" w:rsidRPr="00432F22">
        <w:t xml:space="preserve">used </w:t>
      </w:r>
      <w:r w:rsidR="002F627B" w:rsidRPr="00432F22">
        <w:t xml:space="preserve">for </w:t>
      </w:r>
      <w:r w:rsidR="00576016" w:rsidRPr="00432F22">
        <w:t xml:space="preserve">single-use </w:t>
      </w:r>
      <w:r w:rsidR="002F627B" w:rsidRPr="00432F22">
        <w:t>packaging</w:t>
      </w:r>
      <w:r w:rsidR="00750C7F" w:rsidRPr="00432F22">
        <w:t>, including the sealing process</w:t>
      </w:r>
      <w:r w:rsidR="007870E1" w:rsidRPr="00432F22">
        <w:t>;</w:t>
      </w:r>
    </w:p>
    <w:p w14:paraId="11F81104" w14:textId="77777777" w:rsidR="007870E1" w:rsidRPr="00432F22" w:rsidRDefault="007870E1" w:rsidP="00431373">
      <w:pPr>
        <w:pStyle w:val="Point1letter"/>
        <w:numPr>
          <w:ilvl w:val="3"/>
          <w:numId w:val="10"/>
        </w:numPr>
      </w:pPr>
      <w:r w:rsidRPr="00432F22">
        <w:t xml:space="preserve">‘intermediate </w:t>
      </w:r>
      <w:r w:rsidR="004B00BB" w:rsidRPr="00432F22">
        <w:t xml:space="preserve">food contact </w:t>
      </w:r>
      <w:r w:rsidRPr="00432F22">
        <w:t xml:space="preserve">materials’ means materials that </w:t>
      </w:r>
      <w:r w:rsidR="00CE5407" w:rsidRPr="00432F22">
        <w:t xml:space="preserve">are intended to undergo </w:t>
      </w:r>
      <w:r w:rsidRPr="00432F22">
        <w:t>further chemical</w:t>
      </w:r>
      <w:r w:rsidR="0089779A" w:rsidRPr="00432F22">
        <w:t>, biological</w:t>
      </w:r>
      <w:r w:rsidRPr="00432F22">
        <w:t xml:space="preserve"> or physical processing or modification</w:t>
      </w:r>
      <w:r w:rsidR="0071183A" w:rsidRPr="00432F22">
        <w:t xml:space="preserve"> </w:t>
      </w:r>
      <w:r w:rsidR="00CE5407" w:rsidRPr="00432F22">
        <w:t xml:space="preserve">in order to </w:t>
      </w:r>
      <w:r w:rsidR="00D329BC">
        <w:t>become</w:t>
      </w:r>
      <w:r w:rsidR="00D329BC" w:rsidRPr="00432F22">
        <w:t xml:space="preserve"> </w:t>
      </w:r>
      <w:r w:rsidR="0024772D" w:rsidRPr="00432F22">
        <w:t xml:space="preserve">all or part of </w:t>
      </w:r>
      <w:r w:rsidR="00CE5407" w:rsidRPr="00432F22">
        <w:t xml:space="preserve">a </w:t>
      </w:r>
      <w:r w:rsidR="0024772D" w:rsidRPr="00432F22">
        <w:t>final</w:t>
      </w:r>
      <w:r w:rsidR="00603A62" w:rsidRPr="00432F22">
        <w:t xml:space="preserve"> food contact</w:t>
      </w:r>
      <w:r w:rsidR="0024772D" w:rsidRPr="00432F22">
        <w:t xml:space="preserve"> article</w:t>
      </w:r>
      <w:r w:rsidR="00166EF0">
        <w:t xml:space="preserve">, </w:t>
      </w:r>
      <w:r w:rsidR="001B0278">
        <w:t>other than</w:t>
      </w:r>
      <w:r w:rsidR="001B0278" w:rsidRPr="00432F22">
        <w:t xml:space="preserve"> </w:t>
      </w:r>
      <w:r w:rsidR="00166EF0" w:rsidRPr="00432F22">
        <w:t xml:space="preserve">the </w:t>
      </w:r>
      <w:r w:rsidR="00166EF0">
        <w:t xml:space="preserve">further </w:t>
      </w:r>
      <w:r w:rsidR="00166EF0" w:rsidRPr="00432F22">
        <w:t>processing or modification for filling with food</w:t>
      </w:r>
      <w:r w:rsidR="00166EF0">
        <w:t xml:space="preserve">, in order for them to be </w:t>
      </w:r>
      <w:r w:rsidR="00166EF0" w:rsidRPr="00432F22">
        <w:t>used for single-use packaging, including the sealing process</w:t>
      </w:r>
      <w:r w:rsidR="00105A2D">
        <w:t>;</w:t>
      </w:r>
      <w:r w:rsidRPr="00432F22">
        <w:t xml:space="preserve"> </w:t>
      </w:r>
    </w:p>
    <w:p w14:paraId="74B17E46" w14:textId="77777777" w:rsidR="00E20D50" w:rsidRDefault="00C81CCC" w:rsidP="00431373">
      <w:pPr>
        <w:pStyle w:val="Point1letter"/>
        <w:numPr>
          <w:ilvl w:val="3"/>
          <w:numId w:val="10"/>
        </w:numPr>
      </w:pPr>
      <w:r w:rsidRPr="00432F22">
        <w:t xml:space="preserve">‘bisphenol’ means a substance consisting of two hydroxyphenyl functional groups linked by </w:t>
      </w:r>
      <w:r w:rsidR="006D006E">
        <w:t>one</w:t>
      </w:r>
      <w:r w:rsidR="006D006E" w:rsidRPr="00432F22">
        <w:t xml:space="preserve"> bridg</w:t>
      </w:r>
      <w:r w:rsidR="006D006E">
        <w:t>ing atom</w:t>
      </w:r>
      <w:r w:rsidR="00AD060D" w:rsidRPr="00432F22">
        <w:t>,</w:t>
      </w:r>
      <w:r w:rsidRPr="00432F22">
        <w:t xml:space="preserve"> in accordance with structure </w:t>
      </w:r>
      <w:r w:rsidR="00713531" w:rsidRPr="00432F22">
        <w:t xml:space="preserve">A </w:t>
      </w:r>
      <w:r w:rsidRPr="00432F22">
        <w:t xml:space="preserve">laid </w:t>
      </w:r>
      <w:r w:rsidR="003604DB">
        <w:t>down</w:t>
      </w:r>
      <w:r w:rsidR="003604DB" w:rsidRPr="00432F22">
        <w:t xml:space="preserve"> </w:t>
      </w:r>
      <w:r w:rsidRPr="00432F22">
        <w:t>in Annex</w:t>
      </w:r>
      <w:r w:rsidR="00F62F39" w:rsidRPr="00432F22">
        <w:t xml:space="preserve"> I</w:t>
      </w:r>
      <w:r w:rsidR="0010091B">
        <w:t xml:space="preserve"> and includes the salt form of the bisphenol</w:t>
      </w:r>
      <w:r w:rsidR="004F7BCB">
        <w:t>.</w:t>
      </w:r>
      <w:r w:rsidR="00713531" w:rsidRPr="00432F22">
        <w:t xml:space="preserve"> </w:t>
      </w:r>
      <w:r w:rsidR="004F7BCB">
        <w:t xml:space="preserve">Additional </w:t>
      </w:r>
      <w:r w:rsidR="006D006E">
        <w:t>groups may be attached to the bridging atom</w:t>
      </w:r>
      <w:r w:rsidR="004F7BCB">
        <w:t>;</w:t>
      </w:r>
      <w:r w:rsidR="006D006E">
        <w:t xml:space="preserve"> </w:t>
      </w:r>
    </w:p>
    <w:p w14:paraId="584629A1" w14:textId="77777777" w:rsidR="00DA7B9E" w:rsidRDefault="007E569D" w:rsidP="00431373">
      <w:pPr>
        <w:pStyle w:val="Point1letter"/>
        <w:numPr>
          <w:ilvl w:val="3"/>
          <w:numId w:val="10"/>
        </w:numPr>
      </w:pPr>
      <w:r>
        <w:t>‘</w:t>
      </w:r>
      <w:r w:rsidR="00E20D50">
        <w:t>b</w:t>
      </w:r>
      <w:r w:rsidR="006D006E">
        <w:t xml:space="preserve">isphenol </w:t>
      </w:r>
      <w:r w:rsidR="00713531" w:rsidRPr="00432F22">
        <w:t>derivative</w:t>
      </w:r>
      <w:r>
        <w:t>’</w:t>
      </w:r>
      <w:r w:rsidR="00713531" w:rsidRPr="00432F22">
        <w:t xml:space="preserve"> </w:t>
      </w:r>
      <w:r w:rsidR="00E20D50">
        <w:t>means a</w:t>
      </w:r>
      <w:r>
        <w:t xml:space="preserve"> substance </w:t>
      </w:r>
      <w:r w:rsidR="00E20D50" w:rsidRPr="00432F22">
        <w:t>indicated by the general structure B</w:t>
      </w:r>
      <w:r w:rsidR="00E20D50">
        <w:t xml:space="preserve"> </w:t>
      </w:r>
      <w:r w:rsidR="003604DB">
        <w:t xml:space="preserve">laid down in </w:t>
      </w:r>
      <w:r w:rsidR="00E20D50">
        <w:t xml:space="preserve">Annex </w:t>
      </w:r>
      <w:r w:rsidR="0010091B">
        <w:t xml:space="preserve">I, not including the salt form of </w:t>
      </w:r>
      <w:r w:rsidR="004A0611">
        <w:t xml:space="preserve">a </w:t>
      </w:r>
      <w:r w:rsidR="0010091B">
        <w:t>bisphenol</w:t>
      </w:r>
      <w:r w:rsidR="00DA7B9E">
        <w:t>;</w:t>
      </w:r>
    </w:p>
    <w:p w14:paraId="16B7FC67" w14:textId="0597B69A" w:rsidR="003334B4" w:rsidRDefault="00DA7B9E" w:rsidP="00431373">
      <w:pPr>
        <w:pStyle w:val="Point1letter"/>
        <w:numPr>
          <w:ilvl w:val="3"/>
          <w:numId w:val="10"/>
        </w:numPr>
      </w:pPr>
      <w:r>
        <w:t>‘</w:t>
      </w:r>
      <w:r w:rsidR="008138B4">
        <w:t>hazardous bisphenol</w:t>
      </w:r>
      <w:r w:rsidR="008C564D">
        <w:t xml:space="preserve"> </w:t>
      </w:r>
      <w:r w:rsidR="007D1FBD">
        <w:t xml:space="preserve">or </w:t>
      </w:r>
      <w:r w:rsidR="00A01E3C">
        <w:t xml:space="preserve">hazardous bisphenol </w:t>
      </w:r>
      <w:r w:rsidR="008C564D">
        <w:t>derivative</w:t>
      </w:r>
      <w:r w:rsidR="008138B4">
        <w:t xml:space="preserve">’ means a bisphenol or </w:t>
      </w:r>
      <w:r w:rsidR="00A234AB">
        <w:t xml:space="preserve">a </w:t>
      </w:r>
      <w:r w:rsidR="008138B4">
        <w:t xml:space="preserve">bisphenol derivative </w:t>
      </w:r>
      <w:r w:rsidR="008138B4" w:rsidRPr="00432F22">
        <w:t xml:space="preserve">listed in </w:t>
      </w:r>
      <w:r w:rsidR="00A13666" w:rsidRPr="005A2E81">
        <w:t>Part 3 of Annex VI</w:t>
      </w:r>
      <w:r w:rsidR="00A13666">
        <w:t xml:space="preserve"> to</w:t>
      </w:r>
      <w:r w:rsidR="00A13666" w:rsidRPr="005A2E81">
        <w:t xml:space="preserve"> </w:t>
      </w:r>
      <w:r w:rsidR="008138B4" w:rsidRPr="00432F22">
        <w:t xml:space="preserve">Regulation (EC) No 1272/2008 due to </w:t>
      </w:r>
      <w:r w:rsidR="008138B4">
        <w:t>its</w:t>
      </w:r>
      <w:r w:rsidR="008138B4" w:rsidRPr="00432F22">
        <w:t xml:space="preserve"> harmonised classification as category 1A or 1B ‘mutagenic’, ‘carcinogenic’, ‘toxic to reproduction’ or category 1 ‘endocrine disrupting’ for human healt</w:t>
      </w:r>
      <w:r w:rsidR="00142744">
        <w:t>h</w:t>
      </w:r>
      <w:r w:rsidR="00932A2E">
        <w:t>’.</w:t>
      </w:r>
    </w:p>
    <w:p w14:paraId="2B5AB903" w14:textId="77777777" w:rsidR="00BC357A" w:rsidRPr="00432F22" w:rsidRDefault="00C02E19" w:rsidP="00C02E19">
      <w:pPr>
        <w:pStyle w:val="Titrearticle"/>
      </w:pPr>
      <w:r w:rsidRPr="00432F22">
        <w:t xml:space="preserve">Article </w:t>
      </w:r>
      <w:r w:rsidR="0024772D" w:rsidRPr="00432F22">
        <w:t>3</w:t>
      </w:r>
      <w:r w:rsidR="006A6F50" w:rsidRPr="00432F22">
        <w:t xml:space="preserve"> </w:t>
      </w:r>
    </w:p>
    <w:p w14:paraId="52786767" w14:textId="77777777" w:rsidR="00C02E19" w:rsidRPr="00432F22" w:rsidRDefault="002A6932" w:rsidP="005E1894">
      <w:pPr>
        <w:pStyle w:val="NormalCentered"/>
        <w:rPr>
          <w:i/>
          <w:iCs/>
        </w:rPr>
      </w:pPr>
      <w:r w:rsidRPr="00432F22">
        <w:rPr>
          <w:i/>
          <w:iCs/>
        </w:rPr>
        <w:t>Prohibition</w:t>
      </w:r>
      <w:r w:rsidR="00BC357A" w:rsidRPr="00432F22">
        <w:rPr>
          <w:i/>
          <w:iCs/>
        </w:rPr>
        <w:t xml:space="preserve"> </w:t>
      </w:r>
      <w:r w:rsidR="003C0AC5" w:rsidRPr="00432F22">
        <w:rPr>
          <w:i/>
          <w:iCs/>
        </w:rPr>
        <w:t xml:space="preserve">of </w:t>
      </w:r>
      <w:r w:rsidR="00BC357A" w:rsidRPr="00432F22">
        <w:rPr>
          <w:i/>
          <w:iCs/>
        </w:rPr>
        <w:t xml:space="preserve">the use of </w:t>
      </w:r>
      <w:r w:rsidR="00390466" w:rsidRPr="00432F22">
        <w:rPr>
          <w:i/>
          <w:iCs/>
        </w:rPr>
        <w:t>BP</w:t>
      </w:r>
      <w:r w:rsidR="00BC357A" w:rsidRPr="00432F22">
        <w:rPr>
          <w:i/>
          <w:iCs/>
        </w:rPr>
        <w:t>A</w:t>
      </w:r>
    </w:p>
    <w:p w14:paraId="7023C6E9" w14:textId="77777777" w:rsidR="0000403B" w:rsidRPr="00432F22" w:rsidRDefault="00E857D4" w:rsidP="00431373">
      <w:pPr>
        <w:pStyle w:val="NumPar1"/>
        <w:numPr>
          <w:ilvl w:val="0"/>
          <w:numId w:val="11"/>
        </w:numPr>
      </w:pPr>
      <w:r w:rsidRPr="00432F22">
        <w:t>The use of BPA</w:t>
      </w:r>
      <w:r w:rsidR="001804E3">
        <w:t xml:space="preserve"> and its salts</w:t>
      </w:r>
      <w:r w:rsidRPr="00432F22">
        <w:t xml:space="preserve"> </w:t>
      </w:r>
      <w:r w:rsidR="00DC45CD">
        <w:t>in the manufacture of</w:t>
      </w:r>
      <w:r w:rsidR="002A7AD8" w:rsidRPr="00432F22">
        <w:t xml:space="preserve"> </w:t>
      </w:r>
      <w:r w:rsidR="00006899" w:rsidRPr="00C671B8">
        <w:t xml:space="preserve">food contact materials and articles </w:t>
      </w:r>
      <w:r w:rsidR="003A169E">
        <w:t>referred to in Article 1(2)</w:t>
      </w:r>
      <w:r w:rsidR="00196EBB">
        <w:t xml:space="preserve"> </w:t>
      </w:r>
      <w:r w:rsidR="0024709B" w:rsidRPr="00432F22">
        <w:t xml:space="preserve">and </w:t>
      </w:r>
      <w:r w:rsidR="00B365CA" w:rsidRPr="00432F22">
        <w:t xml:space="preserve">the </w:t>
      </w:r>
      <w:r w:rsidR="0024709B" w:rsidRPr="00432F22">
        <w:t xml:space="preserve">placing on the </w:t>
      </w:r>
      <w:r w:rsidR="00C67F85">
        <w:t xml:space="preserve">Union </w:t>
      </w:r>
      <w:r w:rsidR="0024709B" w:rsidRPr="00432F22">
        <w:t xml:space="preserve">market of food contact </w:t>
      </w:r>
      <w:r w:rsidR="00E20D50">
        <w:t xml:space="preserve">materials and </w:t>
      </w:r>
      <w:r w:rsidR="0024709B" w:rsidRPr="00432F22">
        <w:t xml:space="preserve">articles </w:t>
      </w:r>
      <w:r w:rsidR="00FA6DDC">
        <w:t>manufactured using BPA</w:t>
      </w:r>
      <w:r w:rsidR="007C1A82">
        <w:t>,</w:t>
      </w:r>
      <w:r w:rsidR="007E2A31" w:rsidRPr="00432F22">
        <w:t xml:space="preserve"> </w:t>
      </w:r>
      <w:r w:rsidR="009A6A13" w:rsidRPr="00432F22">
        <w:t>is prohibited</w:t>
      </w:r>
      <w:r w:rsidR="002A7AD8" w:rsidRPr="00432F22">
        <w:t>.</w:t>
      </w:r>
    </w:p>
    <w:p w14:paraId="2792D973" w14:textId="131EB319" w:rsidR="000844E5" w:rsidRPr="00432F22" w:rsidRDefault="002A7AD8" w:rsidP="0050111F">
      <w:pPr>
        <w:pStyle w:val="NumPar1"/>
      </w:pPr>
      <w:r w:rsidRPr="00432F22">
        <w:t xml:space="preserve">By </w:t>
      </w:r>
      <w:r w:rsidR="003A169E">
        <w:t xml:space="preserve">way of </w:t>
      </w:r>
      <w:r w:rsidRPr="00432F22">
        <w:t xml:space="preserve">derogation from paragraph 1, </w:t>
      </w:r>
      <w:r w:rsidR="00444CCC" w:rsidRPr="00432F22">
        <w:t xml:space="preserve">BPA </w:t>
      </w:r>
      <w:r w:rsidR="001804E3">
        <w:t xml:space="preserve">and its salts </w:t>
      </w:r>
      <w:r w:rsidR="00944745">
        <w:t xml:space="preserve">may be used </w:t>
      </w:r>
      <w:r w:rsidR="00280758">
        <w:t xml:space="preserve">in the manufacture of </w:t>
      </w:r>
      <w:r w:rsidR="00EA20BB" w:rsidRPr="00432F22">
        <w:t xml:space="preserve">food contact </w:t>
      </w:r>
      <w:r w:rsidR="00114CBA">
        <w:t xml:space="preserve">materials and </w:t>
      </w:r>
      <w:r w:rsidR="00EA20BB">
        <w:t>article</w:t>
      </w:r>
      <w:r w:rsidR="00FC48D5">
        <w:t>s</w:t>
      </w:r>
      <w:r w:rsidR="00EA20BB">
        <w:t xml:space="preserve"> for a specific</w:t>
      </w:r>
      <w:r w:rsidR="00EA20BB" w:rsidRPr="00432F22">
        <w:t xml:space="preserve"> application</w:t>
      </w:r>
      <w:r w:rsidR="00EA20BB">
        <w:t xml:space="preserve"> </w:t>
      </w:r>
      <w:r w:rsidR="00E66348">
        <w:t xml:space="preserve">set out </w:t>
      </w:r>
      <w:r w:rsidR="00ED3021">
        <w:t xml:space="preserve">in </w:t>
      </w:r>
      <w:r w:rsidR="00ED3021" w:rsidRPr="0050111F">
        <w:t>A</w:t>
      </w:r>
      <w:r w:rsidR="00ED3021" w:rsidRPr="00E3152A">
        <w:t xml:space="preserve">nnex </w:t>
      </w:r>
      <w:r w:rsidR="00ED3021">
        <w:t>II, subject to the restrictions laid down therein</w:t>
      </w:r>
      <w:r w:rsidR="00A47A5B">
        <w:t>.</w:t>
      </w:r>
    </w:p>
    <w:p w14:paraId="47ACCD8B" w14:textId="77777777" w:rsidR="000D29FC" w:rsidRPr="005A2E81" w:rsidRDefault="000D29FC" w:rsidP="000D29FC">
      <w:pPr>
        <w:pStyle w:val="Titrearticle"/>
      </w:pPr>
      <w:r w:rsidRPr="005A2E81">
        <w:t xml:space="preserve">Article </w:t>
      </w:r>
      <w:r w:rsidR="00B51BE1" w:rsidRPr="005A2E81">
        <w:t>4</w:t>
      </w:r>
    </w:p>
    <w:p w14:paraId="4B563340" w14:textId="263718BA" w:rsidR="000D29FC" w:rsidRPr="005A2E81" w:rsidRDefault="008013C8" w:rsidP="000D29FC">
      <w:pPr>
        <w:pStyle w:val="NormalCentered"/>
        <w:rPr>
          <w:i/>
          <w:iCs/>
        </w:rPr>
      </w:pPr>
      <w:r w:rsidRPr="00532349">
        <w:rPr>
          <w:i/>
          <w:iCs/>
        </w:rPr>
        <w:t>Prohibition on the p</w:t>
      </w:r>
      <w:r w:rsidR="00142744" w:rsidRPr="00532349">
        <w:rPr>
          <w:i/>
          <w:iCs/>
        </w:rPr>
        <w:t>resence of BPA</w:t>
      </w:r>
      <w:r w:rsidR="00142744">
        <w:rPr>
          <w:i/>
          <w:iCs/>
        </w:rPr>
        <w:t xml:space="preserve"> in f</w:t>
      </w:r>
      <w:r w:rsidR="003334B4">
        <w:rPr>
          <w:i/>
          <w:iCs/>
        </w:rPr>
        <w:t xml:space="preserve">ood contact </w:t>
      </w:r>
      <w:r w:rsidR="004F7BCB">
        <w:rPr>
          <w:i/>
          <w:iCs/>
        </w:rPr>
        <w:t xml:space="preserve">materials and </w:t>
      </w:r>
      <w:r w:rsidR="003334B4">
        <w:rPr>
          <w:i/>
          <w:iCs/>
        </w:rPr>
        <w:t xml:space="preserve">articles for which </w:t>
      </w:r>
      <w:r w:rsidR="00142744">
        <w:rPr>
          <w:i/>
          <w:iCs/>
        </w:rPr>
        <w:t>other bisphenols or bisphenol</w:t>
      </w:r>
      <w:r w:rsidR="00FC48D5">
        <w:rPr>
          <w:i/>
          <w:iCs/>
        </w:rPr>
        <w:t xml:space="preserve"> derivatives</w:t>
      </w:r>
      <w:r w:rsidR="00142744">
        <w:rPr>
          <w:i/>
          <w:iCs/>
        </w:rPr>
        <w:t xml:space="preserve"> </w:t>
      </w:r>
      <w:r w:rsidR="003334B4">
        <w:rPr>
          <w:i/>
          <w:iCs/>
        </w:rPr>
        <w:t>are used in their manufacture</w:t>
      </w:r>
    </w:p>
    <w:p w14:paraId="44F8EB5A" w14:textId="5A8E5F93" w:rsidR="000D29FC" w:rsidRPr="005A2E81" w:rsidRDefault="004F7BCB" w:rsidP="008C6AA6">
      <w:r>
        <w:t>F</w:t>
      </w:r>
      <w:r w:rsidR="00222B76" w:rsidRPr="005A2E81">
        <w:t xml:space="preserve">ood contact </w:t>
      </w:r>
      <w:r>
        <w:t xml:space="preserve">materials and </w:t>
      </w:r>
      <w:r w:rsidR="00222B76" w:rsidRPr="005A2E81">
        <w:t xml:space="preserve">articles that have been manufactured using </w:t>
      </w:r>
      <w:r w:rsidR="00DC7F77" w:rsidRPr="005A2E81">
        <w:t>a</w:t>
      </w:r>
      <w:r w:rsidR="00142744">
        <w:t>nother</w:t>
      </w:r>
      <w:r w:rsidR="00DC7F77" w:rsidRPr="005A2E81">
        <w:t xml:space="preserve"> </w:t>
      </w:r>
      <w:r w:rsidR="00142744">
        <w:t>bisphenol or bisphenol</w:t>
      </w:r>
      <w:r w:rsidR="00142744" w:rsidRPr="005A2E81">
        <w:t xml:space="preserve"> </w:t>
      </w:r>
      <w:r w:rsidR="00DC7F77" w:rsidRPr="005A2E81">
        <w:t xml:space="preserve">derivative </w:t>
      </w:r>
      <w:r w:rsidR="000D29FC" w:rsidRPr="005A2E81">
        <w:t xml:space="preserve">shall not contain </w:t>
      </w:r>
      <w:r w:rsidR="005C1B56">
        <w:t xml:space="preserve">any </w:t>
      </w:r>
      <w:r w:rsidR="00243111">
        <w:t xml:space="preserve">residual </w:t>
      </w:r>
      <w:r w:rsidR="000D29FC" w:rsidRPr="005A2E81">
        <w:t>BPA.</w:t>
      </w:r>
    </w:p>
    <w:p w14:paraId="1C69B204" w14:textId="77777777" w:rsidR="005E1894" w:rsidRPr="005A2E81" w:rsidRDefault="005E1894" w:rsidP="007C76FE">
      <w:pPr>
        <w:pStyle w:val="Titrearticle"/>
      </w:pPr>
      <w:r w:rsidRPr="005A2E81">
        <w:lastRenderedPageBreak/>
        <w:t xml:space="preserve">Article </w:t>
      </w:r>
      <w:r w:rsidR="00B51BE1" w:rsidRPr="005A2E81">
        <w:t xml:space="preserve">5 </w:t>
      </w:r>
    </w:p>
    <w:p w14:paraId="1DDF0086" w14:textId="77777777" w:rsidR="005E1894" w:rsidRPr="005A2E81" w:rsidRDefault="00C03DE4" w:rsidP="005E1894">
      <w:pPr>
        <w:pStyle w:val="NormalCentered"/>
        <w:rPr>
          <w:i/>
          <w:iCs/>
        </w:rPr>
      </w:pPr>
      <w:r w:rsidRPr="005A2E81">
        <w:rPr>
          <w:i/>
          <w:iCs/>
        </w:rPr>
        <w:t>Prohibition of</w:t>
      </w:r>
      <w:r w:rsidR="0043534A" w:rsidRPr="005A2E81">
        <w:rPr>
          <w:i/>
          <w:iCs/>
        </w:rPr>
        <w:t xml:space="preserve"> </w:t>
      </w:r>
      <w:r w:rsidR="005E1894" w:rsidRPr="005A2E81">
        <w:rPr>
          <w:i/>
          <w:iCs/>
        </w:rPr>
        <w:t>the use of</w:t>
      </w:r>
      <w:r w:rsidR="00074C8E" w:rsidRPr="005A2E81">
        <w:rPr>
          <w:i/>
          <w:iCs/>
        </w:rPr>
        <w:t xml:space="preserve"> </w:t>
      </w:r>
      <w:r w:rsidR="005C3DAF" w:rsidRPr="005A2E81">
        <w:rPr>
          <w:i/>
          <w:iCs/>
        </w:rPr>
        <w:t xml:space="preserve">hazardous </w:t>
      </w:r>
      <w:r w:rsidR="005E1894" w:rsidRPr="005A2E81">
        <w:rPr>
          <w:i/>
          <w:iCs/>
        </w:rPr>
        <w:t>bisphenols</w:t>
      </w:r>
      <w:r w:rsidR="007B4BF9" w:rsidRPr="005A2E81">
        <w:rPr>
          <w:i/>
          <w:iCs/>
        </w:rPr>
        <w:t xml:space="preserve"> </w:t>
      </w:r>
      <w:r w:rsidR="00A01E3C" w:rsidRPr="005A2E81">
        <w:rPr>
          <w:i/>
          <w:iCs/>
        </w:rPr>
        <w:t>other than BPA</w:t>
      </w:r>
      <w:r w:rsidR="00A01E3C">
        <w:rPr>
          <w:i/>
          <w:iCs/>
        </w:rPr>
        <w:t xml:space="preserve"> </w:t>
      </w:r>
      <w:r w:rsidR="007D1FBD">
        <w:rPr>
          <w:i/>
          <w:iCs/>
        </w:rPr>
        <w:t xml:space="preserve">or </w:t>
      </w:r>
      <w:r w:rsidR="00A01E3C" w:rsidRPr="00A01E3C">
        <w:rPr>
          <w:i/>
          <w:iCs/>
        </w:rPr>
        <w:t xml:space="preserve">hazardous bisphenol </w:t>
      </w:r>
      <w:r w:rsidR="007D1FBD">
        <w:rPr>
          <w:i/>
          <w:iCs/>
        </w:rPr>
        <w:t xml:space="preserve">derivatives </w:t>
      </w:r>
    </w:p>
    <w:p w14:paraId="0F23C995" w14:textId="77777777" w:rsidR="00A36403" w:rsidRPr="005A2E81" w:rsidRDefault="00A36403" w:rsidP="00D057BE">
      <w:pPr>
        <w:pStyle w:val="NumPar1"/>
        <w:numPr>
          <w:ilvl w:val="0"/>
          <w:numId w:val="13"/>
        </w:numPr>
      </w:pPr>
      <w:r w:rsidRPr="005A2E81">
        <w:t>The use of</w:t>
      </w:r>
      <w:r w:rsidR="004C64C3" w:rsidRPr="005A2E81">
        <w:t xml:space="preserve"> </w:t>
      </w:r>
      <w:r w:rsidR="007D1FBD">
        <w:t xml:space="preserve">hazardous bisphenols </w:t>
      </w:r>
      <w:r w:rsidR="00A01E3C" w:rsidRPr="005A2E81">
        <w:t>other than BPA</w:t>
      </w:r>
      <w:r w:rsidR="007F5A1D">
        <w:t xml:space="preserve"> </w:t>
      </w:r>
      <w:r w:rsidR="007D1FBD">
        <w:t xml:space="preserve">or </w:t>
      </w:r>
      <w:r w:rsidR="00A01E3C">
        <w:t xml:space="preserve">hazardous bisphenol </w:t>
      </w:r>
      <w:r w:rsidR="007D1FBD">
        <w:t>derivatives</w:t>
      </w:r>
      <w:r w:rsidR="007F5A1D">
        <w:t xml:space="preserve"> </w:t>
      </w:r>
      <w:r w:rsidR="00105A2D">
        <w:t>in the manufacture</w:t>
      </w:r>
      <w:r w:rsidR="00280758" w:rsidRPr="005A2E81">
        <w:t xml:space="preserve"> of food contact materials and articles</w:t>
      </w:r>
      <w:r w:rsidR="00BA7854" w:rsidRPr="005A2E81">
        <w:t xml:space="preserve"> referred to in Article 1(2)</w:t>
      </w:r>
      <w:r w:rsidR="00280758" w:rsidRPr="005A2E81">
        <w:t xml:space="preserve"> </w:t>
      </w:r>
      <w:r w:rsidR="00196EBB" w:rsidRPr="005A2E81">
        <w:t>and the placing on the market of food contact</w:t>
      </w:r>
      <w:r w:rsidR="00F57B07" w:rsidRPr="005A2E81">
        <w:t xml:space="preserve"> materials and</w:t>
      </w:r>
      <w:r w:rsidR="00196EBB" w:rsidRPr="005A2E81">
        <w:t xml:space="preserve"> articles</w:t>
      </w:r>
      <w:r w:rsidR="00105A2D">
        <w:t xml:space="preserve"> manufactured </w:t>
      </w:r>
      <w:r w:rsidR="00545B9C">
        <w:t xml:space="preserve">using </w:t>
      </w:r>
      <w:r w:rsidR="007F5A1D">
        <w:t xml:space="preserve">hazardous bisphenols </w:t>
      </w:r>
      <w:r w:rsidR="007F5A1D" w:rsidRPr="005A2E81">
        <w:t>other than BPA</w:t>
      </w:r>
      <w:r w:rsidR="007F5A1D">
        <w:t xml:space="preserve"> or hazardous bisphenol derivatives </w:t>
      </w:r>
      <w:r w:rsidR="00196EBB" w:rsidRPr="005A2E81">
        <w:t>is prohibited</w:t>
      </w:r>
      <w:r w:rsidRPr="005A2E81">
        <w:t>.</w:t>
      </w:r>
      <w:r w:rsidR="007F5A1D">
        <w:t xml:space="preserve"> </w:t>
      </w:r>
    </w:p>
    <w:p w14:paraId="6AF915BE" w14:textId="4E4A3180" w:rsidR="00B26ADB" w:rsidRDefault="00292287" w:rsidP="005C1B56">
      <w:pPr>
        <w:pStyle w:val="NumPar1"/>
      </w:pPr>
      <w:r w:rsidRPr="005A2E81">
        <w:t xml:space="preserve">By way of derogation from paragraph 1, </w:t>
      </w:r>
      <w:r w:rsidR="00F45393">
        <w:t xml:space="preserve">a </w:t>
      </w:r>
      <w:r w:rsidRPr="005A2E81">
        <w:t xml:space="preserve">hazardous bisphenol </w:t>
      </w:r>
      <w:r w:rsidR="007F5A1D">
        <w:t xml:space="preserve">other than BPA </w:t>
      </w:r>
      <w:r w:rsidR="007D1FBD">
        <w:t xml:space="preserve">or </w:t>
      </w:r>
      <w:r w:rsidR="00A01E3C">
        <w:t xml:space="preserve">hazardous bisphenol </w:t>
      </w:r>
      <w:r w:rsidR="007D1FBD">
        <w:t>derivatives</w:t>
      </w:r>
      <w:r w:rsidR="004F7BCB">
        <w:t xml:space="preserve"> </w:t>
      </w:r>
      <w:r w:rsidR="002E53A2" w:rsidRPr="005A2E81">
        <w:t xml:space="preserve">may be </w:t>
      </w:r>
      <w:r w:rsidR="00103EF1" w:rsidRPr="00105A2D">
        <w:t xml:space="preserve">used in the manufacture of </w:t>
      </w:r>
      <w:r w:rsidR="002E53A2" w:rsidRPr="00105A2D">
        <w:t xml:space="preserve">food contact </w:t>
      </w:r>
      <w:r w:rsidR="007F5A1D">
        <w:t xml:space="preserve">materials and </w:t>
      </w:r>
      <w:r w:rsidR="002E53A2" w:rsidRPr="00105A2D">
        <w:t>article</w:t>
      </w:r>
      <w:r w:rsidR="00103EF1" w:rsidRPr="00105A2D">
        <w:t>s</w:t>
      </w:r>
      <w:r w:rsidR="002E53A2" w:rsidRPr="00105A2D">
        <w:t xml:space="preserve"> </w:t>
      </w:r>
      <w:r w:rsidR="007F5A1D">
        <w:t>f</w:t>
      </w:r>
      <w:r w:rsidR="002E53A2" w:rsidRPr="00105A2D">
        <w:t xml:space="preserve">or </w:t>
      </w:r>
      <w:r w:rsidR="007F5A1D">
        <w:t xml:space="preserve">a specific </w:t>
      </w:r>
      <w:r w:rsidR="002E53A2" w:rsidRPr="00105A2D">
        <w:t>application</w:t>
      </w:r>
      <w:r w:rsidR="00B26ADB">
        <w:t xml:space="preserve"> </w:t>
      </w:r>
      <w:r w:rsidR="006B6271">
        <w:t xml:space="preserve">and those food contact materials and articles </w:t>
      </w:r>
      <w:r w:rsidR="00B26ADB">
        <w:t>may be</w:t>
      </w:r>
      <w:r w:rsidR="007F5A1D">
        <w:t xml:space="preserve"> </w:t>
      </w:r>
      <w:r w:rsidR="00105A2D" w:rsidRPr="00105A2D">
        <w:t>placed on the market if that use has been</w:t>
      </w:r>
      <w:r w:rsidR="00103EF1" w:rsidRPr="00105A2D">
        <w:t xml:space="preserve"> authorised in accordance with Article 6</w:t>
      </w:r>
      <w:r w:rsidR="007F5A1D">
        <w:t xml:space="preserve"> and is set out in Annex II</w:t>
      </w:r>
      <w:r w:rsidR="00B26ADB">
        <w:t>.</w:t>
      </w:r>
    </w:p>
    <w:p w14:paraId="70C41833" w14:textId="6E4F24A9" w:rsidR="00832C50" w:rsidRDefault="00B26ADB" w:rsidP="005C1B56">
      <w:pPr>
        <w:pStyle w:val="NumPar1"/>
      </w:pPr>
      <w:r w:rsidRPr="005A2E81">
        <w:t>By way of derogation from paragraph 1,</w:t>
      </w:r>
      <w:r>
        <w:t xml:space="preserve"> a </w:t>
      </w:r>
      <w:r w:rsidRPr="005A2E81">
        <w:t xml:space="preserve">hazardous bisphenol </w:t>
      </w:r>
      <w:r>
        <w:t>other than BPA or hazardous bisphenol derivative</w:t>
      </w:r>
      <w:r w:rsidR="00A93033">
        <w:t>,</w:t>
      </w:r>
      <w:r>
        <w:t xml:space="preserve"> the use of which has not been authorised in accordance with Article 6 and set out in Annex II</w:t>
      </w:r>
      <w:r w:rsidR="00A93033">
        <w:t>,</w:t>
      </w:r>
      <w:r>
        <w:t xml:space="preserve"> may be </w:t>
      </w:r>
      <w:r w:rsidRPr="00105A2D">
        <w:t xml:space="preserve">used in the manufacture of food contact </w:t>
      </w:r>
      <w:r>
        <w:t xml:space="preserve">materials and </w:t>
      </w:r>
      <w:r w:rsidRPr="00105A2D">
        <w:t xml:space="preserve">articles </w:t>
      </w:r>
      <w:r>
        <w:t>f</w:t>
      </w:r>
      <w:r w:rsidRPr="00105A2D">
        <w:t xml:space="preserve">or </w:t>
      </w:r>
      <w:r>
        <w:t xml:space="preserve">a specific </w:t>
      </w:r>
      <w:r w:rsidRPr="00105A2D">
        <w:t>application</w:t>
      </w:r>
      <w:r>
        <w:t xml:space="preserve"> </w:t>
      </w:r>
      <w:r w:rsidRPr="00105A2D">
        <w:t xml:space="preserve">and </w:t>
      </w:r>
      <w:r w:rsidR="00D64FA8">
        <w:t xml:space="preserve">the placing on the </w:t>
      </w:r>
      <w:r w:rsidRPr="00105A2D">
        <w:t xml:space="preserve">market </w:t>
      </w:r>
      <w:r w:rsidR="00D64FA8">
        <w:t xml:space="preserve">of those food contact materials </w:t>
      </w:r>
      <w:bookmarkStart w:id="3" w:name="_Hlk168012038"/>
      <w:r w:rsidR="00D64FA8">
        <w:t xml:space="preserve">is allowed </w:t>
      </w:r>
      <w:r>
        <w:t xml:space="preserve">if the following conditions </w:t>
      </w:r>
      <w:r w:rsidR="007C3825" w:rsidRPr="00532349">
        <w:t>are fulfilled</w:t>
      </w:r>
      <w:r>
        <w:t>:</w:t>
      </w:r>
      <w:r w:rsidR="00142744">
        <w:t xml:space="preserve"> </w:t>
      </w:r>
    </w:p>
    <w:bookmarkEnd w:id="3"/>
    <w:p w14:paraId="77981EA6" w14:textId="03779C7F" w:rsidR="00F45393" w:rsidRDefault="00B26ADB" w:rsidP="00D057BE">
      <w:pPr>
        <w:pStyle w:val="Point1letter"/>
        <w:numPr>
          <w:ilvl w:val="3"/>
          <w:numId w:val="21"/>
        </w:numPr>
      </w:pPr>
      <w:r>
        <w:t xml:space="preserve">it was already used </w:t>
      </w:r>
      <w:r w:rsidR="00F45393">
        <w:t xml:space="preserve">in </w:t>
      </w:r>
      <w:r>
        <w:t xml:space="preserve">the </w:t>
      </w:r>
      <w:r w:rsidR="00F45393">
        <w:t xml:space="preserve">manufacture </w:t>
      </w:r>
      <w:r>
        <w:t xml:space="preserve">of </w:t>
      </w:r>
      <w:r w:rsidR="00F45393">
        <w:t xml:space="preserve">the same </w:t>
      </w:r>
      <w:r>
        <w:t xml:space="preserve">food contact materials </w:t>
      </w:r>
      <w:r w:rsidR="00B5572F">
        <w:t xml:space="preserve">and articles </w:t>
      </w:r>
      <w:r w:rsidR="00F45393">
        <w:t>for that specific application on one</w:t>
      </w:r>
      <w:r>
        <w:t xml:space="preserve"> of</w:t>
      </w:r>
      <w:r w:rsidR="00F45393">
        <w:t xml:space="preserve"> the following dates:</w:t>
      </w:r>
      <w:r>
        <w:t xml:space="preserve"> </w:t>
      </w:r>
    </w:p>
    <w:p w14:paraId="601415D7" w14:textId="61E8723E" w:rsidR="003A6A5A" w:rsidRDefault="007562C6" w:rsidP="007562C6">
      <w:pPr>
        <w:pStyle w:val="Point2"/>
      </w:pPr>
      <w:r>
        <w:t>(i)</w:t>
      </w:r>
      <w:r>
        <w:tab/>
      </w:r>
      <w:r w:rsidR="003A6A5A">
        <w:t xml:space="preserve">either the date on which the European Food Safety Authority (‘the </w:t>
      </w:r>
      <w:r w:rsidR="003A6A5A" w:rsidRPr="007D1FBD">
        <w:t>Authority</w:t>
      </w:r>
      <w:r w:rsidR="003A6A5A">
        <w:t>’)</w:t>
      </w:r>
      <w:r w:rsidR="003A6A5A" w:rsidRPr="007D1FBD">
        <w:t xml:space="preserve"> </w:t>
      </w:r>
      <w:r w:rsidR="003A6A5A" w:rsidRPr="008C6AA6">
        <w:t xml:space="preserve">publishes </w:t>
      </w:r>
      <w:r w:rsidR="003A6A5A">
        <w:t xml:space="preserve">the information referred to in Article 6(4) </w:t>
      </w:r>
      <w:r w:rsidR="003A6A5A" w:rsidRPr="00F37405">
        <w:t xml:space="preserve">for </w:t>
      </w:r>
      <w:r w:rsidR="003A6A5A">
        <w:t xml:space="preserve">hazardous </w:t>
      </w:r>
      <w:r w:rsidR="003A6A5A" w:rsidRPr="00F37405">
        <w:t>bisphenols and bisphenol derivatives for which the harmonised classification applies on that date</w:t>
      </w:r>
      <w:r w:rsidR="003A6A5A">
        <w:t>; or</w:t>
      </w:r>
    </w:p>
    <w:p w14:paraId="2DE1583C" w14:textId="0F59EA8C" w:rsidR="00B26ADB" w:rsidRDefault="007562C6" w:rsidP="007562C6">
      <w:pPr>
        <w:pStyle w:val="Point2"/>
      </w:pPr>
      <w:r>
        <w:t>(ii)</w:t>
      </w:r>
      <w:r>
        <w:tab/>
      </w:r>
      <w:r w:rsidR="003A6A5A">
        <w:t xml:space="preserve">once the Authority has published the information referred to in Article 6(4), the date on which </w:t>
      </w:r>
      <w:r w:rsidR="00B26ADB">
        <w:t xml:space="preserve">the harmonised classification </w:t>
      </w:r>
      <w:r w:rsidR="003A6A5A" w:rsidRPr="005A2E81">
        <w:t>applies</w:t>
      </w:r>
      <w:r w:rsidR="003A6A5A">
        <w:t xml:space="preserve"> to the </w:t>
      </w:r>
      <w:r w:rsidR="003A6A5A" w:rsidRPr="005A2E81">
        <w:t>hazardous bisphenol</w:t>
      </w:r>
      <w:r w:rsidR="003A6A5A">
        <w:t xml:space="preserve"> or hazardous bisphenol derivative</w:t>
      </w:r>
      <w:r w:rsidR="003A6A5A" w:rsidRPr="005A2E81">
        <w:t xml:space="preserve"> listed </w:t>
      </w:r>
      <w:r w:rsidR="00B26ADB">
        <w:t xml:space="preserve">in </w:t>
      </w:r>
      <w:r w:rsidR="00B26ADB" w:rsidRPr="005A2E81">
        <w:t>Part 3 of Annex VI</w:t>
      </w:r>
      <w:r w:rsidR="00B26ADB">
        <w:t xml:space="preserve"> to</w:t>
      </w:r>
      <w:r w:rsidR="00B26ADB" w:rsidRPr="005A2E81">
        <w:t xml:space="preserve"> Regulation (EC) No 1272/2008</w:t>
      </w:r>
      <w:r w:rsidR="002D54C0">
        <w:t>;</w:t>
      </w:r>
      <w:r w:rsidR="007C3825">
        <w:t xml:space="preserve"> and</w:t>
      </w:r>
      <w:r w:rsidR="00545D46">
        <w:t xml:space="preserve"> </w:t>
      </w:r>
    </w:p>
    <w:p w14:paraId="3902CB71" w14:textId="42DD3237" w:rsidR="00B26ADB" w:rsidRPr="008C6AA6" w:rsidRDefault="00B26ADB" w:rsidP="00D057BE">
      <w:pPr>
        <w:pStyle w:val="Point1letter"/>
        <w:numPr>
          <w:ilvl w:val="3"/>
          <w:numId w:val="12"/>
        </w:numPr>
      </w:pPr>
      <w:r>
        <w:t>t</w:t>
      </w:r>
      <w:r w:rsidRPr="008C6AA6">
        <w:t>h</w:t>
      </w:r>
      <w:bookmarkStart w:id="4" w:name="_Hlk168010997"/>
      <w:r w:rsidRPr="008C6AA6">
        <w:t xml:space="preserve">e application referred to in </w:t>
      </w:r>
      <w:r w:rsidR="00A93033" w:rsidRPr="00532349">
        <w:t>Article 6</w:t>
      </w:r>
      <w:r w:rsidR="005437E7" w:rsidRPr="00532349">
        <w:t>(1)</w:t>
      </w:r>
      <w:r w:rsidRPr="008C6AA6">
        <w:t xml:space="preserve"> </w:t>
      </w:r>
      <w:r>
        <w:t xml:space="preserve">is </w:t>
      </w:r>
      <w:r w:rsidRPr="008C6AA6">
        <w:t xml:space="preserve">submitted within </w:t>
      </w:r>
      <w:r>
        <w:t>9</w:t>
      </w:r>
      <w:r w:rsidRPr="008C6AA6">
        <w:t xml:space="preserve"> months from </w:t>
      </w:r>
      <w:r>
        <w:t xml:space="preserve">one of </w:t>
      </w:r>
      <w:r w:rsidRPr="008C6AA6">
        <w:t xml:space="preserve">the </w:t>
      </w:r>
      <w:r>
        <w:t xml:space="preserve">following </w:t>
      </w:r>
      <w:r w:rsidRPr="008C6AA6">
        <w:t>date</w:t>
      </w:r>
      <w:r>
        <w:t>s</w:t>
      </w:r>
      <w:r w:rsidRPr="008C6AA6">
        <w:t xml:space="preserve">: </w:t>
      </w:r>
    </w:p>
    <w:bookmarkEnd w:id="4"/>
    <w:p w14:paraId="3B437921" w14:textId="4922912D" w:rsidR="00B26ADB" w:rsidRPr="005A2E81" w:rsidRDefault="007562C6" w:rsidP="007562C6">
      <w:pPr>
        <w:pStyle w:val="Point2"/>
      </w:pPr>
      <w:r>
        <w:t>(i)</w:t>
      </w:r>
      <w:r>
        <w:tab/>
      </w:r>
      <w:r w:rsidR="003A6A5A">
        <w:t xml:space="preserve">either </w:t>
      </w:r>
      <w:r w:rsidR="00B26ADB">
        <w:t xml:space="preserve">the date </w:t>
      </w:r>
      <w:r w:rsidR="00B26ADB" w:rsidRPr="005A2E81">
        <w:t xml:space="preserve">on which </w:t>
      </w:r>
      <w:r w:rsidR="0067506F">
        <w:t xml:space="preserve">the </w:t>
      </w:r>
      <w:r w:rsidR="0067506F" w:rsidRPr="007D1FBD">
        <w:t xml:space="preserve">Authority </w:t>
      </w:r>
      <w:r w:rsidR="00B26ADB" w:rsidRPr="008C6AA6">
        <w:t xml:space="preserve">publishes </w:t>
      </w:r>
      <w:r w:rsidR="00B26ADB">
        <w:t>the information referred to Article 6(</w:t>
      </w:r>
      <w:r w:rsidR="005437E7">
        <w:t>4</w:t>
      </w:r>
      <w:r w:rsidR="00B26ADB">
        <w:t>)</w:t>
      </w:r>
      <w:r w:rsidR="006E12FC">
        <w:t xml:space="preserve"> </w:t>
      </w:r>
      <w:r w:rsidR="006E12FC" w:rsidRPr="00F37405">
        <w:t xml:space="preserve">for </w:t>
      </w:r>
      <w:r w:rsidR="006E12FC">
        <w:t xml:space="preserve">hazardous </w:t>
      </w:r>
      <w:r w:rsidR="006E12FC" w:rsidRPr="00F37405">
        <w:t>bisphenols and bisphenol derivatives for which the harmonised classification applies on that date</w:t>
      </w:r>
      <w:r w:rsidR="007C3825">
        <w:t>;</w:t>
      </w:r>
      <w:r w:rsidR="00060027">
        <w:t xml:space="preserve"> or</w:t>
      </w:r>
      <w:r w:rsidR="00B26ADB">
        <w:t xml:space="preserve"> </w:t>
      </w:r>
    </w:p>
    <w:p w14:paraId="268AC0FB" w14:textId="03497F1F" w:rsidR="00B26ADB" w:rsidRDefault="007562C6" w:rsidP="007562C6">
      <w:pPr>
        <w:pStyle w:val="Point2"/>
      </w:pPr>
      <w:r>
        <w:t>(ii)</w:t>
      </w:r>
      <w:r>
        <w:tab/>
      </w:r>
      <w:r w:rsidR="006E12FC" w:rsidRPr="00F37405">
        <w:t>once the Authority has published the information referred to in Article 6(4)</w:t>
      </w:r>
      <w:r w:rsidR="006E12FC">
        <w:t xml:space="preserve">, </w:t>
      </w:r>
      <w:r w:rsidR="00B26ADB">
        <w:t xml:space="preserve">the date </w:t>
      </w:r>
      <w:r w:rsidR="00B26ADB" w:rsidRPr="005A2E81">
        <w:t xml:space="preserve">on which </w:t>
      </w:r>
      <w:r w:rsidR="00B26ADB">
        <w:t>the</w:t>
      </w:r>
      <w:r w:rsidR="00B26ADB" w:rsidRPr="005A2E81">
        <w:t xml:space="preserve"> harmonised classification applies</w:t>
      </w:r>
      <w:r w:rsidR="00B26ADB">
        <w:t xml:space="preserve"> to the </w:t>
      </w:r>
      <w:r w:rsidR="00B26ADB" w:rsidRPr="005A2E81">
        <w:t>hazardous bisphenol</w:t>
      </w:r>
      <w:r w:rsidR="00B26ADB">
        <w:t xml:space="preserve"> or </w:t>
      </w:r>
      <w:r w:rsidR="004A0611">
        <w:t xml:space="preserve">hazardous bisphenol </w:t>
      </w:r>
      <w:r w:rsidR="00B26ADB">
        <w:t>derivative</w:t>
      </w:r>
      <w:r w:rsidR="00B26ADB" w:rsidRPr="005A2E81">
        <w:t xml:space="preserve"> listed in Part 3 of Annex VI</w:t>
      </w:r>
      <w:r w:rsidR="00B26ADB">
        <w:t xml:space="preserve"> to</w:t>
      </w:r>
      <w:r w:rsidR="00B26ADB" w:rsidRPr="005A2E81">
        <w:t xml:space="preserve"> Regulation (EC) No 1272/2008</w:t>
      </w:r>
      <w:r w:rsidR="007C3825">
        <w:t>;</w:t>
      </w:r>
      <w:r w:rsidR="00B26ADB" w:rsidRPr="005A2E81">
        <w:t xml:space="preserve"> </w:t>
      </w:r>
      <w:r w:rsidR="006E12FC">
        <w:t>and</w:t>
      </w:r>
    </w:p>
    <w:p w14:paraId="341A166E" w14:textId="05CC1C76" w:rsidR="00D64FA8" w:rsidRDefault="00F45393" w:rsidP="00D057BE">
      <w:pPr>
        <w:pStyle w:val="Point1letter"/>
        <w:numPr>
          <w:ilvl w:val="3"/>
          <w:numId w:val="12"/>
        </w:numPr>
      </w:pPr>
      <w:r>
        <w:t xml:space="preserve">the food contact materials </w:t>
      </w:r>
      <w:r w:rsidR="0054515D">
        <w:t xml:space="preserve">and articles </w:t>
      </w:r>
      <w:r>
        <w:t>comply with the rules as applicable before the date of entry into force of this Regulation</w:t>
      </w:r>
      <w:r w:rsidR="00087B05">
        <w:t>;</w:t>
      </w:r>
      <w:r w:rsidR="007C3825">
        <w:t xml:space="preserve"> and</w:t>
      </w:r>
      <w:r w:rsidR="00D64FA8">
        <w:t xml:space="preserve"> </w:t>
      </w:r>
    </w:p>
    <w:p w14:paraId="67DB4B1B" w14:textId="77777777" w:rsidR="00B26ADB" w:rsidRDefault="00B26ADB" w:rsidP="00D057BE">
      <w:pPr>
        <w:pStyle w:val="Point1letter"/>
        <w:numPr>
          <w:ilvl w:val="3"/>
          <w:numId w:val="12"/>
        </w:numPr>
      </w:pPr>
      <w:r>
        <w:t>the Commission has not taken a decision on the application pursuant to Article 6(3).</w:t>
      </w:r>
    </w:p>
    <w:p w14:paraId="62DD4025" w14:textId="77777777" w:rsidR="00832C50" w:rsidRPr="005A2E81" w:rsidRDefault="00832C50" w:rsidP="00832C50">
      <w:pPr>
        <w:pStyle w:val="Titrearticle"/>
      </w:pPr>
      <w:bookmarkStart w:id="5" w:name="_Hlk166510281"/>
      <w:r w:rsidRPr="005A2E81">
        <w:lastRenderedPageBreak/>
        <w:t xml:space="preserve">Article 6 </w:t>
      </w:r>
    </w:p>
    <w:p w14:paraId="5CF2B683" w14:textId="576B2564" w:rsidR="00832C50" w:rsidRPr="005A2E81" w:rsidRDefault="002E53A2" w:rsidP="00832C50">
      <w:pPr>
        <w:pStyle w:val="NormalCentered"/>
        <w:rPr>
          <w:i/>
          <w:iCs/>
        </w:rPr>
      </w:pPr>
      <w:r w:rsidRPr="005A2E81">
        <w:rPr>
          <w:i/>
          <w:iCs/>
        </w:rPr>
        <w:t>Authorisation for the u</w:t>
      </w:r>
      <w:r w:rsidR="00832C50" w:rsidRPr="005A2E81">
        <w:rPr>
          <w:i/>
          <w:iCs/>
        </w:rPr>
        <w:t>se of hazardous bisphenol</w:t>
      </w:r>
      <w:r w:rsidR="007D1FBD">
        <w:rPr>
          <w:i/>
          <w:iCs/>
        </w:rPr>
        <w:t xml:space="preserve">s </w:t>
      </w:r>
      <w:r w:rsidR="00A01E3C" w:rsidRPr="005A2E81">
        <w:rPr>
          <w:i/>
          <w:iCs/>
        </w:rPr>
        <w:t xml:space="preserve">other than BPA </w:t>
      </w:r>
      <w:r w:rsidR="007D1FBD">
        <w:rPr>
          <w:i/>
          <w:iCs/>
        </w:rPr>
        <w:t xml:space="preserve">or </w:t>
      </w:r>
      <w:r w:rsidR="00A01E3C">
        <w:rPr>
          <w:i/>
          <w:iCs/>
        </w:rPr>
        <w:t xml:space="preserve">hazardous </w:t>
      </w:r>
      <w:r w:rsidR="002E3EE7">
        <w:rPr>
          <w:i/>
          <w:iCs/>
        </w:rPr>
        <w:t xml:space="preserve">bisphenol </w:t>
      </w:r>
      <w:r w:rsidR="007D1FBD">
        <w:rPr>
          <w:i/>
          <w:iCs/>
        </w:rPr>
        <w:t>derivatives</w:t>
      </w:r>
      <w:r w:rsidR="00832C50" w:rsidRPr="005A2E81">
        <w:rPr>
          <w:i/>
          <w:iCs/>
        </w:rPr>
        <w:t xml:space="preserve"> </w:t>
      </w:r>
      <w:r w:rsidR="00C03DE4" w:rsidRPr="005A2E81">
        <w:rPr>
          <w:i/>
          <w:iCs/>
        </w:rPr>
        <w:t xml:space="preserve">in the manufacture of food contact materials and articles </w:t>
      </w:r>
      <w:r w:rsidR="00437C3D">
        <w:rPr>
          <w:i/>
          <w:iCs/>
        </w:rPr>
        <w:t>for a specific application</w:t>
      </w:r>
    </w:p>
    <w:bookmarkEnd w:id="5"/>
    <w:p w14:paraId="6650AF15" w14:textId="77777777" w:rsidR="007D1FBD" w:rsidRDefault="007D1FBD" w:rsidP="00D057BE">
      <w:pPr>
        <w:pStyle w:val="NumPar1"/>
        <w:numPr>
          <w:ilvl w:val="0"/>
          <w:numId w:val="20"/>
        </w:numPr>
      </w:pPr>
      <w:r>
        <w:t>T</w:t>
      </w:r>
      <w:r w:rsidR="00832C50" w:rsidRPr="005A2E81">
        <w:t xml:space="preserve">o obtain an authorisation for the use of a hazardous bisphenol </w:t>
      </w:r>
      <w:r w:rsidR="00D4785B">
        <w:t xml:space="preserve">other than BPA </w:t>
      </w:r>
      <w:r>
        <w:t xml:space="preserve">or </w:t>
      </w:r>
      <w:r w:rsidR="00A01E3C">
        <w:t xml:space="preserve">hazardous bisphenol </w:t>
      </w:r>
      <w:r>
        <w:t xml:space="preserve">derivative in the manufacture of </w:t>
      </w:r>
      <w:r w:rsidR="00EA20BB">
        <w:t xml:space="preserve">a </w:t>
      </w:r>
      <w:r w:rsidR="00EA20BB" w:rsidRPr="00432F22">
        <w:t xml:space="preserve">food contact </w:t>
      </w:r>
      <w:r w:rsidR="00166EF0">
        <w:t xml:space="preserve">material or </w:t>
      </w:r>
      <w:r w:rsidR="00EA20BB">
        <w:t>article for a specific</w:t>
      </w:r>
      <w:r w:rsidR="00EA20BB" w:rsidRPr="00432F22">
        <w:t xml:space="preserve"> application</w:t>
      </w:r>
      <w:r w:rsidR="00832C50" w:rsidRPr="005A2E81">
        <w:t>, an application shall be submitted</w:t>
      </w:r>
      <w:r>
        <w:t xml:space="preserve"> </w:t>
      </w:r>
      <w:r w:rsidRPr="005A2E81">
        <w:t>in accordance with Article 9 of Regulation (EC) No 1935/2004</w:t>
      </w:r>
      <w:r>
        <w:t>.</w:t>
      </w:r>
    </w:p>
    <w:p w14:paraId="40599D42" w14:textId="461A43E9" w:rsidR="00AE036D" w:rsidRPr="005A2E81" w:rsidRDefault="00111930" w:rsidP="00196EBB">
      <w:pPr>
        <w:pStyle w:val="NumPar1"/>
      </w:pPr>
      <w:r>
        <w:t>I</w:t>
      </w:r>
      <w:r w:rsidRPr="00111930">
        <w:t>n accordance with Article 10 of Regulation (EC) No 1935/2004</w:t>
      </w:r>
      <w:r>
        <w:t>, t</w:t>
      </w:r>
      <w:r w:rsidR="00AE036D" w:rsidRPr="005A2E81">
        <w:t>he Authority shall issue an opinion for the use of the hazardous bisphenol</w:t>
      </w:r>
      <w:r>
        <w:t xml:space="preserve"> or </w:t>
      </w:r>
      <w:r w:rsidR="008E5FEB" w:rsidRPr="005A2E81">
        <w:t>hazardous bisphenol</w:t>
      </w:r>
      <w:r w:rsidR="008E5FEB">
        <w:t xml:space="preserve"> </w:t>
      </w:r>
      <w:r>
        <w:t>derivative</w:t>
      </w:r>
      <w:r w:rsidR="00AE036D" w:rsidRPr="005A2E81">
        <w:t xml:space="preserve"> in the manufacture of a </w:t>
      </w:r>
      <w:r w:rsidR="00EA20BB" w:rsidRPr="00432F22">
        <w:t xml:space="preserve">food contact </w:t>
      </w:r>
      <w:r w:rsidR="00F45393">
        <w:t xml:space="preserve">material or </w:t>
      </w:r>
      <w:r w:rsidR="00EA20BB">
        <w:t>article for a specific</w:t>
      </w:r>
      <w:r w:rsidR="00EA20BB" w:rsidRPr="00432F22">
        <w:t xml:space="preserve"> application</w:t>
      </w:r>
      <w:r w:rsidR="00EA20BB">
        <w:t xml:space="preserve"> </w:t>
      </w:r>
      <w:r w:rsidR="00A13666">
        <w:t>for which</w:t>
      </w:r>
      <w:r>
        <w:t xml:space="preserve"> </w:t>
      </w:r>
      <w:r w:rsidR="00AE036D" w:rsidRPr="005A2E81">
        <w:t xml:space="preserve">a valid application </w:t>
      </w:r>
      <w:r w:rsidR="00A13666">
        <w:t xml:space="preserve">was </w:t>
      </w:r>
      <w:r w:rsidR="00AE036D" w:rsidRPr="005A2E81">
        <w:t>submitted in accordance with Article 10 of Regulation (EC) No 1935/2004.</w:t>
      </w:r>
      <w:r>
        <w:t xml:space="preserve"> </w:t>
      </w:r>
      <w:r w:rsidRPr="00111930">
        <w:t>In case the Authority receives several applications regarding the same hazardous bisphenol</w:t>
      </w:r>
      <w:r>
        <w:t xml:space="preserve"> or </w:t>
      </w:r>
      <w:r w:rsidR="008E5FEB" w:rsidRPr="005A2E81">
        <w:t>hazardous bisphenol</w:t>
      </w:r>
      <w:r w:rsidR="008E5FEB">
        <w:t xml:space="preserve"> </w:t>
      </w:r>
      <w:r>
        <w:t>derivative</w:t>
      </w:r>
      <w:r w:rsidRPr="00111930">
        <w:t xml:space="preserve">, the Authority </w:t>
      </w:r>
      <w:r w:rsidR="00A13666">
        <w:t>may</w:t>
      </w:r>
      <w:r w:rsidRPr="00111930">
        <w:t xml:space="preserve"> publish a single opinion concerning that hazardous bisphenol</w:t>
      </w:r>
      <w:r>
        <w:t xml:space="preserve"> or </w:t>
      </w:r>
      <w:r w:rsidR="008E5FEB" w:rsidRPr="005A2E81">
        <w:t>hazardous bisphenol</w:t>
      </w:r>
      <w:r w:rsidR="008E5FEB">
        <w:t xml:space="preserve"> </w:t>
      </w:r>
      <w:r>
        <w:t>derivative.</w:t>
      </w:r>
    </w:p>
    <w:p w14:paraId="48F2C4A4" w14:textId="77777777" w:rsidR="002E53A2" w:rsidRPr="005A2E81" w:rsidRDefault="00AE036D" w:rsidP="00196EBB">
      <w:pPr>
        <w:pStyle w:val="NumPar1"/>
      </w:pPr>
      <w:r w:rsidRPr="005A2E81">
        <w:t xml:space="preserve">The Commission shall thereafter </w:t>
      </w:r>
      <w:r w:rsidR="00F92BF5" w:rsidRPr="005A2E81">
        <w:t>adopt</w:t>
      </w:r>
      <w:r w:rsidRPr="005A2E81">
        <w:t xml:space="preserve"> a specific measure </w:t>
      </w:r>
      <w:r w:rsidR="00305F8F" w:rsidRPr="005A2E81">
        <w:t>in accordance with</w:t>
      </w:r>
      <w:r w:rsidR="00F92BF5" w:rsidRPr="005A2E81">
        <w:t xml:space="preserve"> Article 11 of Regulation (EC) No 1935/2004, either authorising</w:t>
      </w:r>
      <w:r w:rsidR="00EA20BB">
        <w:t>, subject to restrictions where appropriate,</w:t>
      </w:r>
      <w:r w:rsidR="00F92BF5" w:rsidRPr="005A2E81">
        <w:t xml:space="preserve"> or not authorising </w:t>
      </w:r>
      <w:r w:rsidR="00A13666">
        <w:t>the</w:t>
      </w:r>
      <w:r w:rsidR="00305F8F" w:rsidRPr="005A2E81">
        <w:t xml:space="preserve"> </w:t>
      </w:r>
      <w:r w:rsidR="00F92BF5" w:rsidRPr="005A2E81">
        <w:t xml:space="preserve">use of the hazardous bisphenol </w:t>
      </w:r>
      <w:r w:rsidR="00111930">
        <w:t xml:space="preserve">or </w:t>
      </w:r>
      <w:r w:rsidR="008E5FEB" w:rsidRPr="005A2E81">
        <w:t>hazardous bisphenol</w:t>
      </w:r>
      <w:r w:rsidR="008E5FEB">
        <w:t xml:space="preserve"> </w:t>
      </w:r>
      <w:r w:rsidR="00111930">
        <w:t xml:space="preserve">derivative </w:t>
      </w:r>
      <w:r w:rsidR="00F92BF5" w:rsidRPr="005A2E81">
        <w:t xml:space="preserve">for the manufacture of the </w:t>
      </w:r>
      <w:r w:rsidR="00EA20BB" w:rsidRPr="00432F22">
        <w:t xml:space="preserve">food contact </w:t>
      </w:r>
      <w:r w:rsidR="008E5FEB">
        <w:t xml:space="preserve">material or </w:t>
      </w:r>
      <w:r w:rsidR="00EA20BB">
        <w:t>article for a specific</w:t>
      </w:r>
      <w:r w:rsidR="00EA20BB" w:rsidRPr="00432F22">
        <w:t xml:space="preserve"> application</w:t>
      </w:r>
      <w:r w:rsidR="002E53A2" w:rsidRPr="005A2E81">
        <w:t>.</w:t>
      </w:r>
      <w:r w:rsidR="00103EF1">
        <w:t xml:space="preserve"> </w:t>
      </w:r>
      <w:r w:rsidR="00EA4868">
        <w:t xml:space="preserve">In case of authorisation, </w:t>
      </w:r>
      <w:r w:rsidR="008E5FEB" w:rsidRPr="005A2E81">
        <w:t xml:space="preserve">the hazardous bisphenol </w:t>
      </w:r>
      <w:r w:rsidR="008E5FEB">
        <w:t xml:space="preserve">or </w:t>
      </w:r>
      <w:r w:rsidR="008E5FEB" w:rsidRPr="005A2E81">
        <w:t>hazardous bisphenol</w:t>
      </w:r>
      <w:r w:rsidR="008E5FEB">
        <w:t xml:space="preserve"> derivative shall be included in </w:t>
      </w:r>
      <w:r w:rsidR="00103EF1" w:rsidRPr="00BF040E">
        <w:t xml:space="preserve">Annex II to this Regulation </w:t>
      </w:r>
      <w:r w:rsidR="00EA20BB">
        <w:t>accordingly</w:t>
      </w:r>
      <w:r w:rsidR="00103EF1" w:rsidRPr="00BF040E">
        <w:t>.</w:t>
      </w:r>
      <w:r w:rsidR="00545B9C">
        <w:t xml:space="preserve"> </w:t>
      </w:r>
    </w:p>
    <w:p w14:paraId="462FF524" w14:textId="63652399" w:rsidR="00D4785B" w:rsidRDefault="00166EF0" w:rsidP="00D057BE">
      <w:pPr>
        <w:pStyle w:val="NumPar1"/>
        <w:numPr>
          <w:ilvl w:val="0"/>
          <w:numId w:val="20"/>
        </w:numPr>
      </w:pPr>
      <w:r w:rsidRPr="007D1FBD">
        <w:t xml:space="preserve">For the purpose of paragraph </w:t>
      </w:r>
      <w:r w:rsidR="00D4785B">
        <w:t>1</w:t>
      </w:r>
      <w:r w:rsidRPr="007D1FBD">
        <w:t xml:space="preserve">, and before [enter date two years after the entry into force of this Regulation], the Authority shall </w:t>
      </w:r>
      <w:r>
        <w:t>publish scientific output detailing the information necessary for the assessment</w:t>
      </w:r>
      <w:r w:rsidRPr="007D1FBD">
        <w:t xml:space="preserve"> of the use of </w:t>
      </w:r>
      <w:r w:rsidRPr="005A2E81">
        <w:t>hazardous bisphenol</w:t>
      </w:r>
      <w:r>
        <w:t>s</w:t>
      </w:r>
      <w:r w:rsidRPr="005A2E81">
        <w:t xml:space="preserve"> </w:t>
      </w:r>
      <w:r>
        <w:t xml:space="preserve">or hazardous bisphenol derivatives, in the manufacture of a </w:t>
      </w:r>
      <w:r w:rsidRPr="00432F22">
        <w:t xml:space="preserve">food contact </w:t>
      </w:r>
      <w:r w:rsidR="00A93033">
        <w:t xml:space="preserve">materials and </w:t>
      </w:r>
      <w:r>
        <w:t>article</w:t>
      </w:r>
      <w:r w:rsidR="00A93033">
        <w:t>s</w:t>
      </w:r>
      <w:r>
        <w:t xml:space="preserve"> for a specific</w:t>
      </w:r>
      <w:r w:rsidRPr="00432F22">
        <w:t xml:space="preserve"> application</w:t>
      </w:r>
      <w:r>
        <w:t xml:space="preserve">, supplementing or updating </w:t>
      </w:r>
      <w:r w:rsidR="00A93033">
        <w:t>where</w:t>
      </w:r>
      <w:r>
        <w:t xml:space="preserve"> necessary the detailed guidelines referred to in Article 9(2) of Regulation (EC) </w:t>
      </w:r>
      <w:r w:rsidR="00545B9C">
        <w:t xml:space="preserve">No </w:t>
      </w:r>
      <w:r>
        <w:t>1935/2004</w:t>
      </w:r>
      <w:r w:rsidRPr="007D1FBD">
        <w:t xml:space="preserve">. The Authority </w:t>
      </w:r>
      <w:r w:rsidR="00892562">
        <w:t xml:space="preserve">and </w:t>
      </w:r>
      <w:r>
        <w:t xml:space="preserve">the </w:t>
      </w:r>
      <w:r w:rsidRPr="00532349">
        <w:t>European Chemicals Agency</w:t>
      </w:r>
      <w:r w:rsidR="00114CBA" w:rsidRPr="00532349">
        <w:t xml:space="preserve"> </w:t>
      </w:r>
      <w:r w:rsidR="00892562" w:rsidRPr="00532349">
        <w:t xml:space="preserve">shall collaborate with each other </w:t>
      </w:r>
      <w:r w:rsidR="00114CBA" w:rsidRPr="00532349">
        <w:t>for this purpose</w:t>
      </w:r>
      <w:r w:rsidRPr="00532349">
        <w:t>.</w:t>
      </w:r>
      <w:r>
        <w:t xml:space="preserve"> </w:t>
      </w:r>
    </w:p>
    <w:p w14:paraId="724D7E40" w14:textId="78AC2E70" w:rsidR="00166EF0" w:rsidRPr="005A2E81" w:rsidRDefault="00D4785B" w:rsidP="005437E7">
      <w:pPr>
        <w:pStyle w:val="NumPar1"/>
        <w:numPr>
          <w:ilvl w:val="0"/>
          <w:numId w:val="20"/>
        </w:numPr>
      </w:pPr>
      <w:r>
        <w:t>Upon request by the Authority, b</w:t>
      </w:r>
      <w:r w:rsidR="00166EF0">
        <w:t xml:space="preserve">usiness operators using </w:t>
      </w:r>
      <w:r w:rsidR="00166EF0" w:rsidRPr="005A2E81">
        <w:t>bisphenol</w:t>
      </w:r>
      <w:r w:rsidR="00166EF0">
        <w:t>s</w:t>
      </w:r>
      <w:r w:rsidR="00166EF0" w:rsidRPr="005A2E81">
        <w:t xml:space="preserve"> </w:t>
      </w:r>
      <w:r w:rsidR="00166EF0">
        <w:t xml:space="preserve">or bisphenol derivatives </w:t>
      </w:r>
      <w:r>
        <w:t xml:space="preserve">in the manufacture of food contact materials and articles </w:t>
      </w:r>
      <w:r w:rsidR="00166EF0">
        <w:t xml:space="preserve">shall provide </w:t>
      </w:r>
      <w:r w:rsidR="00166EF0" w:rsidRPr="007D1FBD">
        <w:t xml:space="preserve">data on </w:t>
      </w:r>
      <w:r w:rsidR="00166EF0">
        <w:t xml:space="preserve">the use of the </w:t>
      </w:r>
      <w:r w:rsidR="00166EF0" w:rsidRPr="005A2E81">
        <w:t>bisphenol</w:t>
      </w:r>
      <w:r w:rsidR="00166EF0">
        <w:t>s and</w:t>
      </w:r>
      <w:r w:rsidR="00166EF0" w:rsidRPr="005A2E81">
        <w:t xml:space="preserve"> </w:t>
      </w:r>
      <w:r w:rsidR="00166EF0">
        <w:t xml:space="preserve">bisphenol derivatives in the manufacture of food contact materials and articles </w:t>
      </w:r>
      <w:r w:rsidR="00166EF0" w:rsidRPr="007D1FBD">
        <w:t xml:space="preserve">to inform the preparation </w:t>
      </w:r>
      <w:r w:rsidR="00166EF0">
        <w:t xml:space="preserve">of </w:t>
      </w:r>
      <w:r w:rsidR="008E5FEB">
        <w:t xml:space="preserve">the information referred to in paragraph </w:t>
      </w:r>
      <w:r w:rsidR="00243111">
        <w:t>4</w:t>
      </w:r>
      <w:r w:rsidR="00166EF0" w:rsidRPr="005A2E81">
        <w:t xml:space="preserve">. </w:t>
      </w:r>
    </w:p>
    <w:p w14:paraId="21F144A7" w14:textId="77777777" w:rsidR="00AA4F81" w:rsidRPr="00006899" w:rsidRDefault="00AA4F81" w:rsidP="00AA4F81">
      <w:pPr>
        <w:pStyle w:val="Titrearticle"/>
        <w:rPr>
          <w:iCs/>
        </w:rPr>
      </w:pPr>
      <w:r w:rsidRPr="00432F22">
        <w:t xml:space="preserve">Article </w:t>
      </w:r>
      <w:r w:rsidR="007608DE">
        <w:t>7</w:t>
      </w:r>
    </w:p>
    <w:p w14:paraId="3FE3879F" w14:textId="155D0188" w:rsidR="00AA4F81" w:rsidRPr="00432F22" w:rsidRDefault="00AA4F81" w:rsidP="00AA4F81">
      <w:pPr>
        <w:pStyle w:val="NormalCentered"/>
        <w:rPr>
          <w:i/>
          <w:iCs/>
        </w:rPr>
      </w:pPr>
      <w:r>
        <w:rPr>
          <w:i/>
          <w:iCs/>
        </w:rPr>
        <w:t>R</w:t>
      </w:r>
      <w:r w:rsidRPr="00432F22">
        <w:rPr>
          <w:i/>
          <w:iCs/>
        </w:rPr>
        <w:t xml:space="preserve">eporting </w:t>
      </w:r>
      <w:r>
        <w:rPr>
          <w:i/>
          <w:iCs/>
        </w:rPr>
        <w:t>obligations concerning alternative</w:t>
      </w:r>
      <w:r w:rsidR="00AB395B">
        <w:rPr>
          <w:i/>
          <w:iCs/>
        </w:rPr>
        <w:t xml:space="preserve"> </w:t>
      </w:r>
      <w:r>
        <w:rPr>
          <w:i/>
          <w:iCs/>
        </w:rPr>
        <w:t>s</w:t>
      </w:r>
      <w:r w:rsidR="00AB395B">
        <w:rPr>
          <w:i/>
          <w:iCs/>
        </w:rPr>
        <w:t xml:space="preserve">ubstances to </w:t>
      </w:r>
      <w:r w:rsidR="0067506F">
        <w:rPr>
          <w:i/>
          <w:iCs/>
        </w:rPr>
        <w:t xml:space="preserve">BPA, </w:t>
      </w:r>
      <w:r w:rsidR="00D052A3">
        <w:rPr>
          <w:i/>
          <w:iCs/>
        </w:rPr>
        <w:t xml:space="preserve">hazardous bisphenols and </w:t>
      </w:r>
      <w:r w:rsidR="0067506F">
        <w:rPr>
          <w:i/>
          <w:iCs/>
        </w:rPr>
        <w:t xml:space="preserve">hazardous </w:t>
      </w:r>
      <w:r w:rsidR="00D052A3">
        <w:rPr>
          <w:i/>
          <w:iCs/>
        </w:rPr>
        <w:t>bisphenol derivatives</w:t>
      </w:r>
      <w:r>
        <w:rPr>
          <w:i/>
          <w:iCs/>
        </w:rPr>
        <w:t xml:space="preserve"> laid down in Annex</w:t>
      </w:r>
      <w:r w:rsidR="00E3152A">
        <w:rPr>
          <w:i/>
          <w:iCs/>
        </w:rPr>
        <w:t xml:space="preserve"> II</w:t>
      </w:r>
      <w:r w:rsidRPr="00432F22">
        <w:rPr>
          <w:i/>
          <w:iCs/>
        </w:rPr>
        <w:t xml:space="preserve"> </w:t>
      </w:r>
    </w:p>
    <w:p w14:paraId="16D6A725" w14:textId="2C108AC2" w:rsidR="00473777" w:rsidRDefault="00EA4868" w:rsidP="00D057BE">
      <w:pPr>
        <w:pStyle w:val="NumPar1"/>
        <w:numPr>
          <w:ilvl w:val="0"/>
          <w:numId w:val="16"/>
        </w:numPr>
        <w:rPr>
          <w:szCs w:val="24"/>
          <w:lang w:val="en-IE"/>
        </w:rPr>
      </w:pPr>
      <w:r>
        <w:rPr>
          <w:szCs w:val="24"/>
          <w:lang w:val="en-IE"/>
        </w:rPr>
        <w:t>Business operators using BPA</w:t>
      </w:r>
      <w:r w:rsidR="00545B9C">
        <w:rPr>
          <w:szCs w:val="24"/>
          <w:lang w:val="en-IE"/>
        </w:rPr>
        <w:t>,</w:t>
      </w:r>
      <w:r>
        <w:rPr>
          <w:szCs w:val="24"/>
          <w:lang w:val="en-IE"/>
        </w:rPr>
        <w:t xml:space="preserve"> other hazardous bisphenols or </w:t>
      </w:r>
      <w:r w:rsidR="00A01E3C">
        <w:t xml:space="preserve">hazardous bisphenol </w:t>
      </w:r>
      <w:r>
        <w:rPr>
          <w:szCs w:val="24"/>
          <w:lang w:val="en-IE"/>
        </w:rPr>
        <w:t xml:space="preserve">derivatives </w:t>
      </w:r>
      <w:r w:rsidR="00545B9C">
        <w:rPr>
          <w:szCs w:val="24"/>
          <w:lang w:val="en-IE"/>
        </w:rPr>
        <w:t>listed</w:t>
      </w:r>
      <w:r w:rsidR="00AA4F81" w:rsidRPr="00E72614">
        <w:rPr>
          <w:szCs w:val="24"/>
          <w:lang w:val="en-IE"/>
        </w:rPr>
        <w:t xml:space="preserve"> </w:t>
      </w:r>
      <w:r w:rsidR="00E72614" w:rsidRPr="00E72614">
        <w:rPr>
          <w:szCs w:val="24"/>
          <w:lang w:val="en-IE"/>
        </w:rPr>
        <w:t>in</w:t>
      </w:r>
      <w:r w:rsidR="00AA4F81" w:rsidRPr="00E72614">
        <w:rPr>
          <w:szCs w:val="24"/>
          <w:lang w:val="en-IE"/>
        </w:rPr>
        <w:t xml:space="preserve"> Annex </w:t>
      </w:r>
      <w:r w:rsidR="00E72614" w:rsidRPr="00E72614">
        <w:rPr>
          <w:szCs w:val="24"/>
          <w:lang w:val="en-IE"/>
        </w:rPr>
        <w:t>II</w:t>
      </w:r>
      <w:r w:rsidR="0067506F">
        <w:rPr>
          <w:szCs w:val="24"/>
          <w:lang w:val="en-IE"/>
        </w:rPr>
        <w:t>,</w:t>
      </w:r>
      <w:r w:rsidR="00AA4F81" w:rsidRPr="00E72614">
        <w:rPr>
          <w:szCs w:val="24"/>
          <w:lang w:val="en-IE"/>
        </w:rPr>
        <w:t xml:space="preserve"> shall </w:t>
      </w:r>
      <w:r w:rsidR="00041E5C">
        <w:rPr>
          <w:szCs w:val="24"/>
          <w:lang w:val="en-IE"/>
        </w:rPr>
        <w:t>provide information</w:t>
      </w:r>
      <w:r w:rsidR="00041E5C" w:rsidRPr="00E72614">
        <w:rPr>
          <w:szCs w:val="24"/>
          <w:lang w:val="en-IE"/>
        </w:rPr>
        <w:t xml:space="preserve"> </w:t>
      </w:r>
      <w:r w:rsidR="00AA4F81" w:rsidRPr="00E72614">
        <w:rPr>
          <w:szCs w:val="24"/>
          <w:lang w:val="en-IE"/>
        </w:rPr>
        <w:t xml:space="preserve">to the Commission </w:t>
      </w:r>
      <w:r w:rsidR="00CD7DC9">
        <w:rPr>
          <w:szCs w:val="24"/>
          <w:lang w:val="en-IE"/>
        </w:rPr>
        <w:t xml:space="preserve">regarding </w:t>
      </w:r>
      <w:r w:rsidR="00DD3991">
        <w:rPr>
          <w:szCs w:val="24"/>
          <w:lang w:val="en-IE"/>
        </w:rPr>
        <w:t>the status of</w:t>
      </w:r>
      <w:r w:rsidR="00DD3991" w:rsidRPr="00E72614">
        <w:rPr>
          <w:szCs w:val="24"/>
          <w:lang w:val="en-IE"/>
        </w:rPr>
        <w:t xml:space="preserve"> </w:t>
      </w:r>
      <w:r w:rsidR="00AA4F81" w:rsidRPr="00E72614">
        <w:rPr>
          <w:szCs w:val="24"/>
          <w:lang w:val="en-IE"/>
        </w:rPr>
        <w:t xml:space="preserve">alternative </w:t>
      </w:r>
      <w:r w:rsidR="005B69C8">
        <w:rPr>
          <w:szCs w:val="24"/>
          <w:lang w:val="en-IE"/>
        </w:rPr>
        <w:t>substances</w:t>
      </w:r>
      <w:r w:rsidR="00AA4F81" w:rsidRPr="00E72614">
        <w:rPr>
          <w:szCs w:val="24"/>
          <w:lang w:val="en-IE"/>
        </w:rPr>
        <w:t>.</w:t>
      </w:r>
      <w:r w:rsidR="00CD7DC9">
        <w:rPr>
          <w:szCs w:val="24"/>
          <w:lang w:val="en-IE"/>
        </w:rPr>
        <w:t xml:space="preserve"> </w:t>
      </w:r>
    </w:p>
    <w:p w14:paraId="43D6FBC0" w14:textId="77777777" w:rsidR="00AA4F81" w:rsidRPr="00E72614" w:rsidRDefault="00CD7DC9" w:rsidP="004372B7">
      <w:pPr>
        <w:pStyle w:val="Text1"/>
        <w:rPr>
          <w:lang w:val="en-IE"/>
        </w:rPr>
      </w:pPr>
      <w:r>
        <w:rPr>
          <w:lang w:val="en-IE"/>
        </w:rPr>
        <w:lastRenderedPageBreak/>
        <w:t>By derogation</w:t>
      </w:r>
      <w:r w:rsidR="001364DF">
        <w:rPr>
          <w:lang w:val="en-IE"/>
        </w:rPr>
        <w:t>,</w:t>
      </w:r>
      <w:r>
        <w:rPr>
          <w:lang w:val="en-IE"/>
        </w:rPr>
        <w:t xml:space="preserve"> such reporting shall be voluntary for </w:t>
      </w:r>
      <w:r w:rsidRPr="00E72614">
        <w:rPr>
          <w:lang w:val="en-IE"/>
        </w:rPr>
        <w:t>micro, small and medium-sized enterprises as defined by Commission Recommendation of 6 May 2003</w:t>
      </w:r>
      <w:r>
        <w:rPr>
          <w:rStyle w:val="Voetnootmarkering"/>
          <w:szCs w:val="24"/>
          <w:lang w:val="en-IE"/>
        </w:rPr>
        <w:footnoteReference w:id="12"/>
      </w:r>
      <w:r>
        <w:rPr>
          <w:lang w:val="en-IE"/>
        </w:rPr>
        <w:t>.</w:t>
      </w:r>
      <w:r w:rsidRPr="00E72614">
        <w:rPr>
          <w:lang w:val="en-IE"/>
        </w:rPr>
        <w:t xml:space="preserve"> </w:t>
      </w:r>
    </w:p>
    <w:p w14:paraId="2984CF44" w14:textId="77777777" w:rsidR="00AA4F81" w:rsidRPr="00432F22" w:rsidRDefault="00AA4F81" w:rsidP="00E72614">
      <w:pPr>
        <w:pStyle w:val="NumPar1"/>
      </w:pPr>
      <w:r w:rsidRPr="002D65C5">
        <w:rPr>
          <w:lang w:val="en-IE"/>
        </w:rPr>
        <w:t xml:space="preserve">The </w:t>
      </w:r>
      <w:r w:rsidR="00E72614">
        <w:rPr>
          <w:lang w:val="en-IE"/>
        </w:rPr>
        <w:t>information</w:t>
      </w:r>
      <w:r w:rsidR="00CD7DC9">
        <w:rPr>
          <w:lang w:val="en-IE"/>
        </w:rPr>
        <w:t xml:space="preserve"> referred to in paragraph 1</w:t>
      </w:r>
      <w:r w:rsidR="00E72614">
        <w:rPr>
          <w:lang w:val="en-IE"/>
        </w:rPr>
        <w:t xml:space="preserve"> </w:t>
      </w:r>
      <w:r w:rsidRPr="002D65C5">
        <w:rPr>
          <w:lang w:val="en-IE"/>
        </w:rPr>
        <w:t xml:space="preserve">shall be made available to the Commission </w:t>
      </w:r>
      <w:r w:rsidR="00E72614">
        <w:rPr>
          <w:lang w:val="en-IE"/>
        </w:rPr>
        <w:t>after 4 years and at the latest</w:t>
      </w:r>
      <w:r w:rsidRPr="002D65C5">
        <w:rPr>
          <w:lang w:val="en-IE"/>
        </w:rPr>
        <w:t xml:space="preserve"> 5 years after the date from which the </w:t>
      </w:r>
      <w:r w:rsidR="001364DF">
        <w:rPr>
          <w:lang w:val="en-IE"/>
        </w:rPr>
        <w:t xml:space="preserve">use of the hazardous bisphenol or </w:t>
      </w:r>
      <w:r w:rsidR="001948B5">
        <w:rPr>
          <w:lang w:val="en-IE"/>
        </w:rPr>
        <w:t xml:space="preserve">hazardous bisphenol </w:t>
      </w:r>
      <w:r w:rsidR="001364DF">
        <w:rPr>
          <w:lang w:val="en-IE"/>
        </w:rPr>
        <w:t xml:space="preserve">derivative is authorised for use in the manufacture of the </w:t>
      </w:r>
      <w:r w:rsidR="00EA20BB" w:rsidRPr="00432F22">
        <w:t xml:space="preserve">food contact </w:t>
      </w:r>
      <w:r w:rsidR="001948B5">
        <w:t xml:space="preserve">material or </w:t>
      </w:r>
      <w:r w:rsidR="00EA20BB">
        <w:t>article for a specific</w:t>
      </w:r>
      <w:r w:rsidR="00EA20BB" w:rsidRPr="00432F22">
        <w:t xml:space="preserve"> application</w:t>
      </w:r>
      <w:r>
        <w:rPr>
          <w:lang w:val="en-IE"/>
        </w:rPr>
        <w:t xml:space="preserve">. </w:t>
      </w:r>
      <w:r w:rsidR="0003425E">
        <w:rPr>
          <w:lang w:val="en-IE"/>
        </w:rPr>
        <w:t>This information shall be updated and made available to the Commission after 4 years and at the latest</w:t>
      </w:r>
      <w:r w:rsidR="0003425E" w:rsidRPr="002D65C5">
        <w:rPr>
          <w:lang w:val="en-IE"/>
        </w:rPr>
        <w:t xml:space="preserve"> 5 years</w:t>
      </w:r>
      <w:r w:rsidR="0003425E">
        <w:rPr>
          <w:lang w:val="en-IE"/>
        </w:rPr>
        <w:t xml:space="preserve"> </w:t>
      </w:r>
      <w:r w:rsidR="00AB395B">
        <w:rPr>
          <w:lang w:val="en-IE"/>
        </w:rPr>
        <w:t>from</w:t>
      </w:r>
      <w:r w:rsidR="0003425E">
        <w:rPr>
          <w:lang w:val="en-IE"/>
        </w:rPr>
        <w:t xml:space="preserve"> the previous date of submission, if the authoris</w:t>
      </w:r>
      <w:r w:rsidR="00041E5C">
        <w:rPr>
          <w:lang w:val="en-IE"/>
        </w:rPr>
        <w:t xml:space="preserve">ation for the use of the hazardous bisphenol or derivative for the </w:t>
      </w:r>
      <w:r w:rsidR="0009717A">
        <w:rPr>
          <w:lang w:val="en-IE"/>
        </w:rPr>
        <w:t xml:space="preserve">final </w:t>
      </w:r>
      <w:r w:rsidR="00EA20BB" w:rsidRPr="00432F22">
        <w:t xml:space="preserve">food contact </w:t>
      </w:r>
      <w:r w:rsidR="00EA20BB">
        <w:t>article for a specific</w:t>
      </w:r>
      <w:r w:rsidR="00EA20BB" w:rsidRPr="00432F22">
        <w:t xml:space="preserve"> application</w:t>
      </w:r>
      <w:r w:rsidR="00EA20BB">
        <w:t xml:space="preserve"> </w:t>
      </w:r>
      <w:r w:rsidR="0003425E">
        <w:rPr>
          <w:lang w:val="en-IE"/>
        </w:rPr>
        <w:t>remains in place.</w:t>
      </w:r>
    </w:p>
    <w:p w14:paraId="6710275C" w14:textId="77777777" w:rsidR="006A33D7" w:rsidRPr="00432F22" w:rsidRDefault="006A33D7" w:rsidP="006A33D7">
      <w:pPr>
        <w:pStyle w:val="Titrearticle"/>
      </w:pPr>
      <w:r w:rsidRPr="00432F22">
        <w:t xml:space="preserve">Article </w:t>
      </w:r>
      <w:r w:rsidR="007608DE">
        <w:t>8</w:t>
      </w:r>
    </w:p>
    <w:p w14:paraId="71C2F572" w14:textId="77777777" w:rsidR="00675EE8" w:rsidRPr="00432F22" w:rsidRDefault="00AA2DDE" w:rsidP="00675EE8">
      <w:pPr>
        <w:pStyle w:val="NormalCentered"/>
        <w:rPr>
          <w:i/>
          <w:iCs/>
        </w:rPr>
      </w:pPr>
      <w:r>
        <w:rPr>
          <w:i/>
          <w:iCs/>
        </w:rPr>
        <w:t>D</w:t>
      </w:r>
      <w:r w:rsidR="00664580" w:rsidRPr="00432F22">
        <w:rPr>
          <w:i/>
          <w:iCs/>
        </w:rPr>
        <w:t>eclaration of compliance and supporting documentation</w:t>
      </w:r>
    </w:p>
    <w:p w14:paraId="5F4F0E5F" w14:textId="77777777" w:rsidR="00664580" w:rsidRPr="00432F22" w:rsidRDefault="00664580" w:rsidP="00D057BE">
      <w:pPr>
        <w:pStyle w:val="NumPar1"/>
        <w:numPr>
          <w:ilvl w:val="0"/>
          <w:numId w:val="17"/>
        </w:numPr>
      </w:pPr>
      <w:r w:rsidRPr="00432F22">
        <w:t xml:space="preserve">Business operators shall ensure that </w:t>
      </w:r>
      <w:r>
        <w:t xml:space="preserve">food contact </w:t>
      </w:r>
      <w:r w:rsidRPr="00432F22">
        <w:t xml:space="preserve">materials and articles covered by this Regulation </w:t>
      </w:r>
      <w:r>
        <w:t>which are not yet in contact with food</w:t>
      </w:r>
      <w:r w:rsidR="001364DF">
        <w:t xml:space="preserve">, </w:t>
      </w:r>
      <w:r w:rsidR="00C30725">
        <w:t xml:space="preserve">as well as </w:t>
      </w:r>
      <w:r w:rsidR="00C30725" w:rsidRPr="00C30725">
        <w:t xml:space="preserve">bisphenols </w:t>
      </w:r>
      <w:r w:rsidR="00A01E3C">
        <w:t xml:space="preserve">and bisphenol </w:t>
      </w:r>
      <w:r w:rsidR="00C30725" w:rsidRPr="00C30725">
        <w:t xml:space="preserve">derivatives </w:t>
      </w:r>
      <w:r w:rsidR="001364DF">
        <w:t xml:space="preserve">intended to be used </w:t>
      </w:r>
      <w:r w:rsidR="00A01E3C">
        <w:t xml:space="preserve">as monomers or other starting substances </w:t>
      </w:r>
      <w:r w:rsidR="001364DF">
        <w:t>in the manufacture of those food contact materials and articles</w:t>
      </w:r>
      <w:r w:rsidR="00F023EA">
        <w:t>,</w:t>
      </w:r>
      <w:r>
        <w:t xml:space="preserve"> </w:t>
      </w:r>
      <w:r w:rsidRPr="00432F22">
        <w:t xml:space="preserve">are accompanied at all </w:t>
      </w:r>
      <w:r>
        <w:t xml:space="preserve">marketing </w:t>
      </w:r>
      <w:r w:rsidRPr="00432F22">
        <w:t xml:space="preserve">stages </w:t>
      </w:r>
      <w:r>
        <w:t xml:space="preserve">other than the retail stage </w:t>
      </w:r>
      <w:r w:rsidRPr="00432F22">
        <w:t xml:space="preserve">by a written declaration as referred to in Article 16(1) of Regulation (EC) No 1935/2004 stating that they comply with the rules applicable to them (‘declaration of compliance’). </w:t>
      </w:r>
    </w:p>
    <w:p w14:paraId="76E74B5E" w14:textId="77777777" w:rsidR="00664580" w:rsidRPr="00432F22" w:rsidRDefault="00664580" w:rsidP="00D057BE">
      <w:pPr>
        <w:pStyle w:val="NumPar1"/>
        <w:numPr>
          <w:ilvl w:val="0"/>
          <w:numId w:val="17"/>
        </w:numPr>
      </w:pPr>
      <w:r w:rsidRPr="00432F22">
        <w:t xml:space="preserve">The declaration of compliance shall contain the information laid down in Annex </w:t>
      </w:r>
      <w:r w:rsidRPr="00E3152A">
        <w:t>I</w:t>
      </w:r>
      <w:r w:rsidRPr="0050111F">
        <w:t>I</w:t>
      </w:r>
      <w:r w:rsidRPr="00E3152A">
        <w:t>I</w:t>
      </w:r>
      <w:r w:rsidRPr="00432F22">
        <w:t>.</w:t>
      </w:r>
    </w:p>
    <w:p w14:paraId="224354D4" w14:textId="7363B33D" w:rsidR="00535880" w:rsidRDefault="00664580" w:rsidP="00D057BE">
      <w:pPr>
        <w:pStyle w:val="NumPar1"/>
        <w:numPr>
          <w:ilvl w:val="0"/>
          <w:numId w:val="17"/>
        </w:numPr>
      </w:pPr>
      <w:r w:rsidRPr="00432F22">
        <w:t xml:space="preserve">Appropriate </w:t>
      </w:r>
      <w:r w:rsidR="00DB0041">
        <w:t xml:space="preserve">supporting </w:t>
      </w:r>
      <w:r w:rsidRPr="00432F22">
        <w:t xml:space="preserve">documentation shall be available to demonstrate such compliance. That documentation shall be made available </w:t>
      </w:r>
      <w:r>
        <w:t xml:space="preserve">without delay </w:t>
      </w:r>
      <w:r w:rsidRPr="00432F22">
        <w:t xml:space="preserve">to the competent authorities on </w:t>
      </w:r>
      <w:r w:rsidR="007C3825">
        <w:t xml:space="preserve">their </w:t>
      </w:r>
      <w:r w:rsidRPr="00432F22">
        <w:t>demand</w:t>
      </w:r>
      <w:r>
        <w:t>.</w:t>
      </w:r>
    </w:p>
    <w:p w14:paraId="0C1A1047" w14:textId="6D3E6AF7" w:rsidR="00346873" w:rsidRPr="005A2E81" w:rsidRDefault="00346873" w:rsidP="00346873">
      <w:pPr>
        <w:pStyle w:val="Titrearticle"/>
      </w:pPr>
      <w:r w:rsidRPr="005A2E81">
        <w:t xml:space="preserve">Article </w:t>
      </w:r>
      <w:r w:rsidR="007608DE" w:rsidRPr="005A2E81">
        <w:t xml:space="preserve">9 </w:t>
      </w:r>
    </w:p>
    <w:p w14:paraId="5EEF1D4D" w14:textId="77777777" w:rsidR="00675EE8" w:rsidRPr="005A2E81" w:rsidRDefault="00DB0041" w:rsidP="00675EE8">
      <w:pPr>
        <w:pStyle w:val="NormalCentered"/>
        <w:rPr>
          <w:i/>
          <w:iCs/>
        </w:rPr>
      </w:pPr>
      <w:r>
        <w:rPr>
          <w:i/>
          <w:iCs/>
        </w:rPr>
        <w:t>V</w:t>
      </w:r>
      <w:r w:rsidR="00664580" w:rsidRPr="005A2E81">
        <w:rPr>
          <w:i/>
          <w:iCs/>
        </w:rPr>
        <w:t>erification of compliance with the requirements of this Regulation</w:t>
      </w:r>
    </w:p>
    <w:p w14:paraId="164404F1" w14:textId="77777777" w:rsidR="002A1739" w:rsidRDefault="00AA2DDE" w:rsidP="00D057BE">
      <w:pPr>
        <w:pStyle w:val="NumPar1"/>
        <w:numPr>
          <w:ilvl w:val="0"/>
          <w:numId w:val="19"/>
        </w:numPr>
      </w:pPr>
      <w:r>
        <w:t xml:space="preserve">For the verification of compliance </w:t>
      </w:r>
      <w:r w:rsidRPr="001353F2">
        <w:t>with the requirements of this Regulation</w:t>
      </w:r>
      <w:r>
        <w:t>, a</w:t>
      </w:r>
      <w:r w:rsidR="00BF4B15" w:rsidRPr="005A2E81">
        <w:t xml:space="preserve">ppropriate </w:t>
      </w:r>
      <w:r w:rsidR="00664580" w:rsidRPr="005A2E81">
        <w:t>test methods shall be selected in accordance with Article 34 of Regulation (EU) 2017/625 of the European Parliament and of the Council</w:t>
      </w:r>
      <w:r w:rsidR="00BF4B15" w:rsidRPr="005A2E81">
        <w:rPr>
          <w:rStyle w:val="Voetnootmarkering"/>
        </w:rPr>
        <w:footnoteReference w:id="13"/>
      </w:r>
      <w:r w:rsidR="002A1739">
        <w:t>.</w:t>
      </w:r>
    </w:p>
    <w:p w14:paraId="4A7E4F97" w14:textId="5ED32719" w:rsidR="00664580" w:rsidRPr="00C30725" w:rsidRDefault="002A1739" w:rsidP="00D057BE">
      <w:pPr>
        <w:pStyle w:val="NumPar1"/>
        <w:numPr>
          <w:ilvl w:val="0"/>
          <w:numId w:val="19"/>
        </w:numPr>
      </w:pPr>
      <w:r w:rsidRPr="00C30725">
        <w:t xml:space="preserve">For the selection of methods used to verify that a food contact material or article does not contain </w:t>
      </w:r>
      <w:r w:rsidR="00AA2DDE">
        <w:t>BPA</w:t>
      </w:r>
      <w:r w:rsidR="00545B9C">
        <w:t>,</w:t>
      </w:r>
      <w:r w:rsidR="00AA2DDE">
        <w:t xml:space="preserve"> a</w:t>
      </w:r>
      <w:r w:rsidR="00545B9C">
        <w:t>nother</w:t>
      </w:r>
      <w:r w:rsidR="00AA2DDE">
        <w:t xml:space="preserve"> hazardous bisphenol or </w:t>
      </w:r>
      <w:r w:rsidR="00545B9C">
        <w:t xml:space="preserve">a </w:t>
      </w:r>
      <w:r w:rsidR="00AA2DDE">
        <w:t>hazard</w:t>
      </w:r>
      <w:r w:rsidR="00AE338E">
        <w:t>ous</w:t>
      </w:r>
      <w:r w:rsidR="00AA2DDE">
        <w:t xml:space="preserve"> bisphenol derivative</w:t>
      </w:r>
      <w:r w:rsidRPr="00C30725">
        <w:t xml:space="preserve">, </w:t>
      </w:r>
      <w:r w:rsidR="0067506F" w:rsidRPr="00892562">
        <w:t xml:space="preserve">or does not release those substances into food above the specified detection limit or </w:t>
      </w:r>
      <w:r w:rsidR="00243111">
        <w:t>specific migration limit</w:t>
      </w:r>
      <w:r w:rsidR="0067506F">
        <w:t xml:space="preserve">, </w:t>
      </w:r>
      <w:r w:rsidRPr="00C30725">
        <w:t>the following additional rules apply:</w:t>
      </w:r>
    </w:p>
    <w:p w14:paraId="6AC03CFA" w14:textId="658FD3A7" w:rsidR="00AA2DDE" w:rsidRDefault="00AA2DDE" w:rsidP="00D057BE">
      <w:pPr>
        <w:pStyle w:val="Point1letter"/>
        <w:numPr>
          <w:ilvl w:val="3"/>
          <w:numId w:val="15"/>
        </w:numPr>
      </w:pPr>
      <w:r w:rsidRPr="00C30725">
        <w:t xml:space="preserve">where the European Union </w:t>
      </w:r>
      <w:r w:rsidR="0067506F">
        <w:t>R</w:t>
      </w:r>
      <w:r w:rsidRPr="00C30725">
        <w:t xml:space="preserve">eference </w:t>
      </w:r>
      <w:r w:rsidR="0067506F">
        <w:t>L</w:t>
      </w:r>
      <w:r w:rsidRPr="00C30725">
        <w:t xml:space="preserve">aboratory </w:t>
      </w:r>
      <w:r w:rsidR="0067506F">
        <w:t xml:space="preserve">(‘EURL’) </w:t>
      </w:r>
      <w:r w:rsidR="00CA0637">
        <w:t>for</w:t>
      </w:r>
      <w:r w:rsidR="00CA0637" w:rsidRPr="00C30725">
        <w:t xml:space="preserve"> </w:t>
      </w:r>
      <w:r w:rsidRPr="00C30725">
        <w:t>food contact materials has developed or recommended a method, that method shall be used</w:t>
      </w:r>
      <w:r>
        <w:t>;</w:t>
      </w:r>
    </w:p>
    <w:p w14:paraId="475DB90A" w14:textId="77777777" w:rsidR="00243111" w:rsidRDefault="007C3825" w:rsidP="00D057BE">
      <w:pPr>
        <w:pStyle w:val="Point1letter"/>
        <w:numPr>
          <w:ilvl w:val="3"/>
          <w:numId w:val="15"/>
        </w:numPr>
      </w:pPr>
      <w:r>
        <w:t>a</w:t>
      </w:r>
      <w:r w:rsidR="002A1739" w:rsidRPr="00C30725">
        <w:t xml:space="preserve"> method shall have </w:t>
      </w:r>
      <w:r w:rsidR="00664580" w:rsidRPr="00C30725">
        <w:t xml:space="preserve">a detection limit of 1 </w:t>
      </w:r>
      <w:r w:rsidR="002A1739" w:rsidRPr="00C30725">
        <w:t>µ</w:t>
      </w:r>
      <w:r w:rsidR="00664580" w:rsidRPr="00C30725">
        <w:t xml:space="preserve">g/kg unless a different detection limit is </w:t>
      </w:r>
      <w:r w:rsidR="00AA2DDE">
        <w:t>set out</w:t>
      </w:r>
      <w:r w:rsidR="003433E0" w:rsidRPr="00C30725">
        <w:t xml:space="preserve"> </w:t>
      </w:r>
      <w:r w:rsidR="004530A1" w:rsidRPr="00C30725">
        <w:t>in Annex II</w:t>
      </w:r>
      <w:r>
        <w:t>, or as part of the method recommended in accordance with point (a)</w:t>
      </w:r>
    </w:p>
    <w:p w14:paraId="6BF03CF3" w14:textId="6D4E17F5" w:rsidR="003433E0" w:rsidRPr="00C30725" w:rsidRDefault="00243111" w:rsidP="00D057BE">
      <w:pPr>
        <w:pStyle w:val="Point1letter"/>
        <w:numPr>
          <w:ilvl w:val="3"/>
          <w:numId w:val="15"/>
        </w:numPr>
      </w:pPr>
      <w:r>
        <w:lastRenderedPageBreak/>
        <w:t>to verify that a food contact material or article does not contain BPA, another hazardous bisphenol or a hazard</w:t>
      </w:r>
      <w:r w:rsidR="00CA0637">
        <w:t>ous</w:t>
      </w:r>
      <w:r>
        <w:t xml:space="preserve"> bisphenol derivative, an extraction method shall be used</w:t>
      </w:r>
      <w:r w:rsidR="003433E0" w:rsidRPr="00C30725">
        <w:t>.</w:t>
      </w:r>
    </w:p>
    <w:p w14:paraId="7A5F3953" w14:textId="67A58E18" w:rsidR="00BB33A4" w:rsidRPr="00C30725" w:rsidRDefault="00BB33A4" w:rsidP="00664580">
      <w:pPr>
        <w:pStyle w:val="NumPar1"/>
      </w:pPr>
      <w:r w:rsidRPr="00C30725">
        <w:t xml:space="preserve">The </w:t>
      </w:r>
      <w:r w:rsidR="0067506F">
        <w:t>EURL</w:t>
      </w:r>
      <w:r w:rsidRPr="00C30725">
        <w:t xml:space="preserve"> </w:t>
      </w:r>
      <w:r w:rsidR="008E623D">
        <w:t>for</w:t>
      </w:r>
      <w:r w:rsidR="008E623D" w:rsidRPr="00C30725">
        <w:t xml:space="preserve"> </w:t>
      </w:r>
      <w:r w:rsidRPr="00C30725">
        <w:t>food contact materials shall consult the national reference laboratories an</w:t>
      </w:r>
      <w:r w:rsidR="00FC66E1">
        <w:t>d</w:t>
      </w:r>
      <w:r w:rsidRPr="00C30725">
        <w:t xml:space="preserve"> relevant stakeholders to identify possible methods for the purpose of paragraph 2. In case it concludes that a suitable method does not exist at Union level for a specific verification purpose forthcoming from paragraph </w:t>
      </w:r>
      <w:r w:rsidRPr="00FC66E1">
        <w:t>2, it shall complet</w:t>
      </w:r>
      <w:r w:rsidR="00371F99">
        <w:t>e</w:t>
      </w:r>
      <w:r w:rsidRPr="00FC66E1">
        <w:t xml:space="preserve"> the development of such a method with</w:t>
      </w:r>
      <w:r w:rsidR="00371F99">
        <w:t>in a date agreed with</w:t>
      </w:r>
      <w:r w:rsidRPr="00FC66E1">
        <w:t xml:space="preserve"> the Commission.</w:t>
      </w:r>
    </w:p>
    <w:p w14:paraId="32271984" w14:textId="77777777" w:rsidR="00BB33A4" w:rsidRPr="00C30725" w:rsidRDefault="00BB33A4" w:rsidP="00664580">
      <w:pPr>
        <w:pStyle w:val="NumPar1"/>
      </w:pPr>
      <w:r w:rsidRPr="00C30725">
        <w:t>The following rules shall apply</w:t>
      </w:r>
      <w:r w:rsidR="00FC66E1">
        <w:t xml:space="preserve"> for</w:t>
      </w:r>
      <w:r w:rsidRPr="00C30725">
        <w:t xml:space="preserve"> the purposes of verification with specific </w:t>
      </w:r>
      <w:r w:rsidR="00FC66E1">
        <w:t xml:space="preserve">detection or </w:t>
      </w:r>
      <w:r w:rsidRPr="00C30725">
        <w:t>migration limits:</w:t>
      </w:r>
    </w:p>
    <w:p w14:paraId="210ABA3E" w14:textId="77777777" w:rsidR="00BB33A4" w:rsidRPr="00C30725" w:rsidRDefault="00BB33A4" w:rsidP="00D057BE">
      <w:pPr>
        <w:pStyle w:val="Point1letter"/>
        <w:numPr>
          <w:ilvl w:val="3"/>
          <w:numId w:val="22"/>
        </w:numPr>
      </w:pPr>
      <w:r w:rsidRPr="00C30725">
        <w:t>test results shall be expressed in accordance with the rules laid down in Article 17 of Regulation (EU) No 10/2011;</w:t>
      </w:r>
    </w:p>
    <w:p w14:paraId="33979578" w14:textId="77777777" w:rsidR="00BB33A4" w:rsidRPr="00C30725" w:rsidRDefault="00BB33A4" w:rsidP="00D057BE">
      <w:pPr>
        <w:pStyle w:val="Point1letter"/>
        <w:numPr>
          <w:ilvl w:val="3"/>
          <w:numId w:val="15"/>
        </w:numPr>
      </w:pPr>
      <w:r w:rsidRPr="00C30725">
        <w:t>compliance with a migration limit shall be established in accordance with Article 18, Annex III and Chapters 1 and 2 of Annex V to Regulation (EU) No 10/2011;</w:t>
      </w:r>
    </w:p>
    <w:p w14:paraId="594DF83B" w14:textId="77777777" w:rsidR="00BB33A4" w:rsidRPr="00C30725" w:rsidRDefault="00BB33A4" w:rsidP="00D057BE">
      <w:pPr>
        <w:pStyle w:val="Point1letter"/>
        <w:numPr>
          <w:ilvl w:val="3"/>
          <w:numId w:val="15"/>
        </w:numPr>
      </w:pPr>
      <w:r w:rsidRPr="00C30725">
        <w:t xml:space="preserve">in case the foreseeable contact occurs under continuous flow conditions, such as in pipes or filtration assemblies, the testing time shall equal the average residence time </w:t>
      </w:r>
      <w:r w:rsidR="00F023EA">
        <w:t xml:space="preserve">of the food </w:t>
      </w:r>
      <w:r w:rsidRPr="00C30725">
        <w:t>in that pipe or filtration assembly.</w:t>
      </w:r>
    </w:p>
    <w:p w14:paraId="1F38CEE5" w14:textId="77777777" w:rsidR="00A42D02" w:rsidRPr="00432F22" w:rsidRDefault="00A42D02" w:rsidP="00A42D02">
      <w:pPr>
        <w:pStyle w:val="Titrearticle"/>
      </w:pPr>
      <w:r w:rsidRPr="00432F22">
        <w:t xml:space="preserve">Article </w:t>
      </w:r>
      <w:r w:rsidR="000C0D58">
        <w:t>10</w:t>
      </w:r>
    </w:p>
    <w:p w14:paraId="6165EA66" w14:textId="77777777" w:rsidR="00A42D02" w:rsidRPr="00432F22" w:rsidRDefault="00A42D02" w:rsidP="00A42D02">
      <w:pPr>
        <w:pStyle w:val="NormalCentered"/>
        <w:rPr>
          <w:i/>
          <w:iCs/>
        </w:rPr>
      </w:pPr>
      <w:r w:rsidRPr="00432F22">
        <w:rPr>
          <w:i/>
          <w:iCs/>
        </w:rPr>
        <w:t xml:space="preserve">Amendment to Regulation (EU) No 10/2011 </w:t>
      </w:r>
    </w:p>
    <w:p w14:paraId="1DDE48A3" w14:textId="77777777" w:rsidR="005229E9" w:rsidRDefault="005229E9" w:rsidP="004372B7">
      <w:pPr>
        <w:rPr>
          <w:highlight w:val="yellow"/>
        </w:rPr>
      </w:pPr>
      <w:r w:rsidRPr="002D18A8">
        <w:t>Regulation (E</w:t>
      </w:r>
      <w:r>
        <w:t>U</w:t>
      </w:r>
      <w:r w:rsidRPr="002D18A8">
        <w:t xml:space="preserve">) No </w:t>
      </w:r>
      <w:r>
        <w:t>10</w:t>
      </w:r>
      <w:r w:rsidRPr="002D18A8">
        <w:t>/20</w:t>
      </w:r>
      <w:r>
        <w:t>11</w:t>
      </w:r>
      <w:r w:rsidRPr="002D18A8">
        <w:t xml:space="preserve"> is amended as follows:</w:t>
      </w:r>
    </w:p>
    <w:p w14:paraId="7395592C" w14:textId="77777777" w:rsidR="00AA3BD3" w:rsidRPr="0050111F" w:rsidRDefault="004372B7" w:rsidP="004372B7">
      <w:pPr>
        <w:pStyle w:val="Point0"/>
      </w:pPr>
      <w:r>
        <w:t>(1)</w:t>
      </w:r>
      <w:r>
        <w:tab/>
      </w:r>
      <w:r w:rsidR="00A9263E" w:rsidRPr="0050111F">
        <w:t xml:space="preserve">In </w:t>
      </w:r>
      <w:r w:rsidR="00AA3BD3" w:rsidRPr="0050111F">
        <w:t xml:space="preserve">Article </w:t>
      </w:r>
      <w:r w:rsidR="002750B4" w:rsidRPr="0050111F">
        <w:t>6</w:t>
      </w:r>
      <w:r w:rsidR="00AA3BD3" w:rsidRPr="0050111F">
        <w:t xml:space="preserve">, the following </w:t>
      </w:r>
      <w:r w:rsidR="003B1CFC">
        <w:t>paragraph</w:t>
      </w:r>
      <w:r w:rsidR="003B1CFC" w:rsidRPr="0050111F">
        <w:t xml:space="preserve"> </w:t>
      </w:r>
      <w:r w:rsidR="00AA3BD3" w:rsidRPr="0050111F">
        <w:t>is added:</w:t>
      </w:r>
    </w:p>
    <w:p w14:paraId="438AE385" w14:textId="77777777" w:rsidR="00E25E6A" w:rsidRDefault="005229E9" w:rsidP="004372B7">
      <w:pPr>
        <w:pStyle w:val="Point1"/>
      </w:pPr>
      <w:r>
        <w:t>‘</w:t>
      </w:r>
      <w:r w:rsidR="002750B4" w:rsidRPr="0050111F">
        <w:t>6</w:t>
      </w:r>
      <w:r w:rsidR="00E25E6A" w:rsidRPr="00457646">
        <w:t>.</w:t>
      </w:r>
      <w:r w:rsidR="004372B7">
        <w:tab/>
      </w:r>
      <w:r w:rsidR="00E25E6A">
        <w:t xml:space="preserve">By </w:t>
      </w:r>
      <w:r>
        <w:t xml:space="preserve">way of </w:t>
      </w:r>
      <w:r w:rsidR="00E25E6A">
        <w:t xml:space="preserve">derogation from </w:t>
      </w:r>
      <w:r w:rsidR="002750B4">
        <w:t>Article 5</w:t>
      </w:r>
      <w:r w:rsidR="00E25E6A">
        <w:t xml:space="preserve">, </w:t>
      </w:r>
      <w:r w:rsidR="00B56C64" w:rsidRPr="00B56C64">
        <w:t>2,2-bis(4-hydroxyphenyl)propane</w:t>
      </w:r>
      <w:r w:rsidR="00A86A89">
        <w:t xml:space="preserve"> </w:t>
      </w:r>
      <w:r w:rsidR="00B56C64" w:rsidRPr="00432F22">
        <w:t>(</w:t>
      </w:r>
      <w:r w:rsidR="00B56C64">
        <w:t xml:space="preserve">‘bisphenol A’ or </w:t>
      </w:r>
      <w:r w:rsidR="00B56C64" w:rsidRPr="00432F22">
        <w:t>‘BPA’) (CAS No 80-05-7)</w:t>
      </w:r>
      <w:r w:rsidR="00B56C64">
        <w:t xml:space="preserve"> </w:t>
      </w:r>
      <w:r w:rsidR="00A86A89">
        <w:t xml:space="preserve">and other </w:t>
      </w:r>
      <w:r w:rsidR="00171C4C">
        <w:t xml:space="preserve">hazardous </w:t>
      </w:r>
      <w:r w:rsidR="00E25E6A">
        <w:t>bisphenols</w:t>
      </w:r>
      <w:r w:rsidR="00B31654">
        <w:t xml:space="preserve"> or </w:t>
      </w:r>
      <w:r w:rsidR="00A01E3C">
        <w:t xml:space="preserve">hazardous bisphenol </w:t>
      </w:r>
      <w:r w:rsidR="00B31654">
        <w:t>derivatives</w:t>
      </w:r>
      <w:r w:rsidR="00E25E6A">
        <w:t xml:space="preserve"> </w:t>
      </w:r>
      <w:r w:rsidR="00171C4C">
        <w:t>as defined</w:t>
      </w:r>
      <w:r w:rsidR="00E25E6A">
        <w:t xml:space="preserve"> </w:t>
      </w:r>
      <w:r w:rsidR="00A86A89">
        <w:t>and falling within the scope of Regulation [</w:t>
      </w:r>
      <w:r w:rsidR="00A86A89" w:rsidRPr="00B56C64">
        <w:rPr>
          <w:i/>
          <w:iCs/>
        </w:rPr>
        <w:t>insert this Regulation reference</w:t>
      </w:r>
      <w:r w:rsidR="00A86A89">
        <w:t xml:space="preserve">] </w:t>
      </w:r>
      <w:r w:rsidR="002750B4">
        <w:t xml:space="preserve">may </w:t>
      </w:r>
      <w:r w:rsidR="00876352">
        <w:t xml:space="preserve">only </w:t>
      </w:r>
      <w:r w:rsidR="002750B4">
        <w:t xml:space="preserve">be </w:t>
      </w:r>
      <w:r w:rsidR="00E25E6A">
        <w:t xml:space="preserve">used in the manufacture of </w:t>
      </w:r>
      <w:r w:rsidR="002750B4">
        <w:t xml:space="preserve">plastic </w:t>
      </w:r>
      <w:r w:rsidR="00E25E6A">
        <w:t xml:space="preserve">materials and articles </w:t>
      </w:r>
      <w:r w:rsidR="00B01064">
        <w:t>in accordance with</w:t>
      </w:r>
      <w:r w:rsidR="002750B4">
        <w:t xml:space="preserve"> that</w:t>
      </w:r>
      <w:r w:rsidR="00461BB9">
        <w:t xml:space="preserve"> Regulation</w:t>
      </w:r>
      <w:r w:rsidR="00E25E6A">
        <w:t>.</w:t>
      </w:r>
      <w:r>
        <w:t>’;</w:t>
      </w:r>
    </w:p>
    <w:p w14:paraId="42474CF1" w14:textId="77777777" w:rsidR="00E25E6A" w:rsidRDefault="004372B7" w:rsidP="004372B7">
      <w:pPr>
        <w:pStyle w:val="Point0"/>
      </w:pPr>
      <w:r>
        <w:t>(2)</w:t>
      </w:r>
      <w:r>
        <w:tab/>
      </w:r>
      <w:r w:rsidR="005229E9">
        <w:t>in</w:t>
      </w:r>
      <w:r w:rsidR="00E25E6A">
        <w:t xml:space="preserve"> Table 1 </w:t>
      </w:r>
      <w:r w:rsidR="005229E9">
        <w:t xml:space="preserve">of Annex I, </w:t>
      </w:r>
      <w:r w:rsidR="00E25E6A">
        <w:t xml:space="preserve">the entries concerning substance No. 151 </w:t>
      </w:r>
      <w:r w:rsidR="003B1CFC">
        <w:t>(</w:t>
      </w:r>
      <w:r w:rsidR="003B1CFC" w:rsidRPr="003B1CFC">
        <w:t>2,2-bis(4-hydroxyphenyl)propane</w:t>
      </w:r>
      <w:r w:rsidR="003B1CFC">
        <w:t xml:space="preserve">) </w:t>
      </w:r>
      <w:r w:rsidR="00E25E6A">
        <w:t xml:space="preserve">and </w:t>
      </w:r>
      <w:r w:rsidR="00E25E6A" w:rsidRPr="00872BF4">
        <w:t xml:space="preserve">substance No. 154 </w:t>
      </w:r>
      <w:r w:rsidR="003B1CFC" w:rsidRPr="00872BF4">
        <w:t>(4,4′-dihydroxydiphenyl sulphone)</w:t>
      </w:r>
      <w:r w:rsidR="003B1CFC">
        <w:t xml:space="preserve"> </w:t>
      </w:r>
      <w:r w:rsidR="00705E8B">
        <w:t>are</w:t>
      </w:r>
      <w:r w:rsidR="00E25E6A">
        <w:t xml:space="preserve"> deleted</w:t>
      </w:r>
      <w:r w:rsidR="005229E9">
        <w:t>.</w:t>
      </w:r>
    </w:p>
    <w:p w14:paraId="445F9B68" w14:textId="77777777" w:rsidR="00A86A89" w:rsidRPr="002D4EF8" w:rsidRDefault="00A86A89" w:rsidP="00A86A89">
      <w:pPr>
        <w:pStyle w:val="Titrearticle"/>
      </w:pPr>
      <w:r w:rsidRPr="002D4EF8">
        <w:t>Article 1</w:t>
      </w:r>
      <w:r>
        <w:t>1</w:t>
      </w:r>
    </w:p>
    <w:p w14:paraId="22D9C72A" w14:textId="77777777" w:rsidR="00705E8B" w:rsidRPr="003D0EC7" w:rsidRDefault="00A86A89" w:rsidP="0050111F">
      <w:pPr>
        <w:pStyle w:val="NormalCentered"/>
        <w:rPr>
          <w:rStyle w:val="Subtielebenadrukking"/>
        </w:rPr>
      </w:pPr>
      <w:r w:rsidRPr="008C6AA6">
        <w:rPr>
          <w:i/>
          <w:iCs/>
        </w:rPr>
        <w:t>Transitional provisions</w:t>
      </w:r>
      <w:r>
        <w:rPr>
          <w:rStyle w:val="Subtielebenadrukking"/>
        </w:rPr>
        <w:t xml:space="preserve"> c</w:t>
      </w:r>
      <w:r w:rsidRPr="003D0EC7">
        <w:rPr>
          <w:rStyle w:val="Subtielebenadrukking"/>
        </w:rPr>
        <w:t xml:space="preserve">oncerning single-use </w:t>
      </w:r>
      <w:r w:rsidR="00705E8B">
        <w:rPr>
          <w:rStyle w:val="Subtielebenadrukking"/>
        </w:rPr>
        <w:t xml:space="preserve">final </w:t>
      </w:r>
      <w:r w:rsidR="00705E8B" w:rsidRPr="003D0EC7">
        <w:rPr>
          <w:rStyle w:val="Subtielebenadrukking"/>
        </w:rPr>
        <w:t>food contact</w:t>
      </w:r>
      <w:r w:rsidR="00705E8B">
        <w:rPr>
          <w:rStyle w:val="Subtielebenadrukking"/>
        </w:rPr>
        <w:t xml:space="preserve"> </w:t>
      </w:r>
      <w:r w:rsidR="00705E8B" w:rsidRPr="003D0EC7">
        <w:rPr>
          <w:rStyle w:val="Subtielebenadrukking"/>
        </w:rPr>
        <w:t>articles</w:t>
      </w:r>
    </w:p>
    <w:p w14:paraId="17BA5CB1" w14:textId="77777777" w:rsidR="00C138E7" w:rsidRDefault="00A86A89" w:rsidP="00D057BE">
      <w:pPr>
        <w:pStyle w:val="NumPar1"/>
        <w:numPr>
          <w:ilvl w:val="0"/>
          <w:numId w:val="14"/>
        </w:numPr>
      </w:pPr>
      <w:r>
        <w:t>Single-use f</w:t>
      </w:r>
      <w:r w:rsidR="00C138E7">
        <w:t xml:space="preserve">inal </w:t>
      </w:r>
      <w:r w:rsidR="00C138E7" w:rsidRPr="00432F22">
        <w:t xml:space="preserve">food contact articles </w:t>
      </w:r>
      <w:r w:rsidR="00B56C64">
        <w:t xml:space="preserve">manufactured using BPA and </w:t>
      </w:r>
      <w:r w:rsidR="00C138E7" w:rsidRPr="00432F22">
        <w:t>complying with the rules as applicable before the date of entry into force of this Regulation</w:t>
      </w:r>
      <w:r w:rsidR="00C138E7">
        <w:t>,</w:t>
      </w:r>
      <w:r w:rsidR="00C138E7" w:rsidRPr="00432F22">
        <w:t xml:space="preserve"> </w:t>
      </w:r>
      <w:r w:rsidR="00223289">
        <w:t>which do not comply</w:t>
      </w:r>
      <w:r w:rsidR="003B1CFC">
        <w:t xml:space="preserve"> with the rules in this Regulation, </w:t>
      </w:r>
      <w:r w:rsidR="00C138E7" w:rsidRPr="00432F22">
        <w:t xml:space="preserve">may be placed on the market until </w:t>
      </w:r>
      <w:r w:rsidR="00C138E7" w:rsidRPr="00432F22">
        <w:rPr>
          <w:i/>
          <w:iCs/>
        </w:rPr>
        <w:t>[insert date 18 months after the entry into force of this Regulation]</w:t>
      </w:r>
      <w:r w:rsidR="00C138E7">
        <w:t>.</w:t>
      </w:r>
    </w:p>
    <w:p w14:paraId="6382C23F" w14:textId="77777777" w:rsidR="005F539F" w:rsidRPr="00432F22" w:rsidRDefault="00C138E7" w:rsidP="00D057BE">
      <w:pPr>
        <w:pStyle w:val="NumPar1"/>
        <w:numPr>
          <w:ilvl w:val="0"/>
          <w:numId w:val="14"/>
        </w:numPr>
      </w:pPr>
      <w:bookmarkStart w:id="6" w:name="_Hlk166071594"/>
      <w:r>
        <w:t>B</w:t>
      </w:r>
      <w:r w:rsidR="005F539F" w:rsidRPr="00432F22">
        <w:t xml:space="preserve">y </w:t>
      </w:r>
      <w:r w:rsidR="005229E9">
        <w:t xml:space="preserve">way of </w:t>
      </w:r>
      <w:r w:rsidR="005F539F" w:rsidRPr="00432F22">
        <w:t>derogation from paragraph 1, the following</w:t>
      </w:r>
      <w:r w:rsidR="00A86A89">
        <w:t xml:space="preserve"> single-use</w:t>
      </w:r>
      <w:r w:rsidR="005F539F" w:rsidRPr="00432F22">
        <w:t xml:space="preserve"> final </w:t>
      </w:r>
      <w:r w:rsidR="00603A62" w:rsidRPr="00432F22">
        <w:t xml:space="preserve">food contact </w:t>
      </w:r>
      <w:r w:rsidR="005F539F" w:rsidRPr="00432F22">
        <w:t xml:space="preserve">articles complying with the rules as applicable before the </w:t>
      </w:r>
      <w:r w:rsidR="00870E80" w:rsidRPr="00432F22">
        <w:t xml:space="preserve">date of </w:t>
      </w:r>
      <w:r w:rsidR="005F539F" w:rsidRPr="00432F22">
        <w:t>entry into force of this Regulation</w:t>
      </w:r>
      <w:r w:rsidR="00FF6DEE">
        <w:t>,</w:t>
      </w:r>
      <w:r w:rsidR="005F539F" w:rsidRPr="00432F22">
        <w:t xml:space="preserve"> </w:t>
      </w:r>
      <w:r w:rsidR="00223289">
        <w:t xml:space="preserve">which do not comply </w:t>
      </w:r>
      <w:r w:rsidR="003B1CFC">
        <w:t xml:space="preserve">with the rules in this Regulation, </w:t>
      </w:r>
      <w:r w:rsidR="009B7829" w:rsidRPr="00432F22">
        <w:t xml:space="preserve">may be placed on the market until </w:t>
      </w:r>
      <w:r w:rsidR="00A7210F" w:rsidRPr="00C138E7">
        <w:rPr>
          <w:i/>
          <w:iCs/>
        </w:rPr>
        <w:t>[insert date 36 months after the entry into force of this Regulation]</w:t>
      </w:r>
      <w:r w:rsidR="005F539F" w:rsidRPr="00432F22">
        <w:t>:</w:t>
      </w:r>
    </w:p>
    <w:p w14:paraId="2A62E3D3" w14:textId="77777777" w:rsidR="006F4AE2" w:rsidRDefault="004241BA" w:rsidP="00431373">
      <w:pPr>
        <w:pStyle w:val="Point1letter"/>
        <w:numPr>
          <w:ilvl w:val="3"/>
          <w:numId w:val="7"/>
        </w:numPr>
      </w:pPr>
      <w:r>
        <w:lastRenderedPageBreak/>
        <w:t xml:space="preserve">single-use final </w:t>
      </w:r>
      <w:r w:rsidR="00603A62" w:rsidRPr="00432F22">
        <w:t xml:space="preserve">food contact </w:t>
      </w:r>
      <w:r w:rsidR="006E0469" w:rsidRPr="00432F22">
        <w:t>articles</w:t>
      </w:r>
      <w:r w:rsidR="00B90A8C" w:rsidRPr="00432F22">
        <w:t xml:space="preserve"> intended </w:t>
      </w:r>
      <w:r w:rsidR="006F4AE2">
        <w:t>for the preservation of the following foodstuffs:</w:t>
      </w:r>
    </w:p>
    <w:p w14:paraId="2ECACF93" w14:textId="7F5FDFF6" w:rsidR="006F4AE2" w:rsidRPr="000A1F5D" w:rsidRDefault="000A1F5D" w:rsidP="000A1F5D">
      <w:pPr>
        <w:pStyle w:val="Point2"/>
      </w:pPr>
      <w:r>
        <w:t>(i)</w:t>
      </w:r>
      <w:r>
        <w:tab/>
      </w:r>
      <w:r w:rsidR="00EB6129" w:rsidRPr="00432F22">
        <w:t>fruits</w:t>
      </w:r>
      <w:r w:rsidR="006F4AE2">
        <w:t xml:space="preserve"> or</w:t>
      </w:r>
      <w:r w:rsidR="00EB6129" w:rsidRPr="00432F22">
        <w:t xml:space="preserve"> vegetables</w:t>
      </w:r>
      <w:r w:rsidR="00371F99">
        <w:t>,</w:t>
      </w:r>
      <w:r w:rsidR="00405F2C" w:rsidRPr="00432F22">
        <w:t xml:space="preserve"> </w:t>
      </w:r>
      <w:r w:rsidR="00753F67">
        <w:t xml:space="preserve">excluding </w:t>
      </w:r>
      <w:r w:rsidR="009C3179">
        <w:t xml:space="preserve">products defined in Annex I to </w:t>
      </w:r>
      <w:r w:rsidR="009C3179" w:rsidRPr="009C3179">
        <w:t>Council Directive 2001/112/EC</w:t>
      </w:r>
      <w:r w:rsidR="009C3179">
        <w:rPr>
          <w:rStyle w:val="Voetnootmarkering"/>
        </w:rPr>
        <w:footnoteReference w:id="14"/>
      </w:r>
      <w:r w:rsidR="006F4AE2">
        <w:t>; or</w:t>
      </w:r>
    </w:p>
    <w:p w14:paraId="3589FD8A" w14:textId="6232E42A" w:rsidR="005F539F" w:rsidRPr="00432F22" w:rsidRDefault="000A1F5D" w:rsidP="000A1F5D">
      <w:pPr>
        <w:pStyle w:val="Point2"/>
      </w:pPr>
      <w:r>
        <w:t>(ii)</w:t>
      </w:r>
      <w:r>
        <w:tab/>
      </w:r>
      <w:r w:rsidR="00405F2C" w:rsidRPr="00743D4B">
        <w:t>fish</w:t>
      </w:r>
      <w:r w:rsidR="00FB5557" w:rsidRPr="00743D4B">
        <w:t>ery</w:t>
      </w:r>
      <w:r w:rsidR="00967A90" w:rsidRPr="00743D4B">
        <w:t xml:space="preserve"> products</w:t>
      </w:r>
      <w:r w:rsidR="00FB5557" w:rsidRPr="00743D4B">
        <w:t xml:space="preserve"> as defined by Regulation (EC) 853/200</w:t>
      </w:r>
      <w:r w:rsidR="00FB5557" w:rsidRPr="008C6AA6">
        <w:t>4</w:t>
      </w:r>
      <w:r w:rsidR="00F023EA">
        <w:t xml:space="preserve"> </w:t>
      </w:r>
      <w:r w:rsidR="00F023EA" w:rsidRPr="00F023EA">
        <w:t>of the European Parliament and of the Council</w:t>
      </w:r>
      <w:r w:rsidR="00627F25">
        <w:rPr>
          <w:rStyle w:val="Voetnootmarkering"/>
        </w:rPr>
        <w:footnoteReference w:id="15"/>
      </w:r>
      <w:r w:rsidR="00A7210F">
        <w:t>;</w:t>
      </w:r>
    </w:p>
    <w:bookmarkEnd w:id="6"/>
    <w:p w14:paraId="09D06762" w14:textId="77777777" w:rsidR="005F539F" w:rsidRPr="00432F22" w:rsidRDefault="004241BA" w:rsidP="00431373">
      <w:pPr>
        <w:pStyle w:val="Point1letter"/>
        <w:numPr>
          <w:ilvl w:val="3"/>
          <w:numId w:val="7"/>
        </w:numPr>
      </w:pPr>
      <w:r>
        <w:t xml:space="preserve">single-use final </w:t>
      </w:r>
      <w:r w:rsidR="00603A62" w:rsidRPr="00432F22">
        <w:t xml:space="preserve">food contact </w:t>
      </w:r>
      <w:r w:rsidR="006E0469" w:rsidRPr="00432F22">
        <w:t xml:space="preserve">articles </w:t>
      </w:r>
      <w:r w:rsidR="005F539F" w:rsidRPr="00432F22">
        <w:t xml:space="preserve">on which </w:t>
      </w:r>
      <w:r w:rsidR="006E0469" w:rsidRPr="00432F22">
        <w:t>a</w:t>
      </w:r>
      <w:r w:rsidR="005F539F" w:rsidRPr="00432F22">
        <w:t xml:space="preserve"> varnish or coating </w:t>
      </w:r>
      <w:r w:rsidR="00E84C2B">
        <w:t xml:space="preserve">manufactured using BPA </w:t>
      </w:r>
      <w:r w:rsidR="005F539F" w:rsidRPr="00432F22">
        <w:t xml:space="preserve">has </w:t>
      </w:r>
      <w:r w:rsidR="00E84C2B">
        <w:t xml:space="preserve">only </w:t>
      </w:r>
      <w:r w:rsidR="005F539F" w:rsidRPr="00432F22">
        <w:t xml:space="preserve">been applied to the exterior </w:t>
      </w:r>
      <w:r w:rsidR="006E0469" w:rsidRPr="00432F22">
        <w:t xml:space="preserve">metal </w:t>
      </w:r>
      <w:r w:rsidR="005F539F" w:rsidRPr="00432F22">
        <w:t>surface</w:t>
      </w:r>
      <w:r w:rsidR="00223289">
        <w:t>.</w:t>
      </w:r>
    </w:p>
    <w:p w14:paraId="1B1AE2AF" w14:textId="77777777" w:rsidR="007F7792" w:rsidRPr="00432F22" w:rsidRDefault="004241BA" w:rsidP="004241BA">
      <w:pPr>
        <w:pStyle w:val="NumPar1"/>
      </w:pPr>
      <w:r>
        <w:t>Single-use f</w:t>
      </w:r>
      <w:r w:rsidR="0070425F" w:rsidRPr="00432F22">
        <w:t xml:space="preserve">inal food contact articles </w:t>
      </w:r>
      <w:r w:rsidR="00C138E7">
        <w:t xml:space="preserve">placed on the market </w:t>
      </w:r>
      <w:r>
        <w:t>in accordance with paragraphs 1 and 2 may be filled</w:t>
      </w:r>
      <w:r w:rsidR="00C138E7">
        <w:t xml:space="preserve"> with food and seal</w:t>
      </w:r>
      <w:r>
        <w:t xml:space="preserve">ed during </w:t>
      </w:r>
      <w:r w:rsidR="002E18A3" w:rsidRPr="00432F22">
        <w:t xml:space="preserve">the 12 months following the </w:t>
      </w:r>
      <w:r w:rsidR="003B1CFC">
        <w:t>expiry</w:t>
      </w:r>
      <w:r w:rsidR="003B1CFC" w:rsidRPr="00432F22">
        <w:t xml:space="preserve"> </w:t>
      </w:r>
      <w:r w:rsidR="002E18A3" w:rsidRPr="00432F22">
        <w:t>of the applicable transitional period.</w:t>
      </w:r>
      <w:r w:rsidR="00B366C2">
        <w:t xml:space="preserve"> Th</w:t>
      </w:r>
      <w:r w:rsidR="00C138E7">
        <w:t>e resulting</w:t>
      </w:r>
      <w:r w:rsidR="00B366C2">
        <w:t xml:space="preserve"> packaged food </w:t>
      </w:r>
      <w:r w:rsidR="007F7792">
        <w:t xml:space="preserve">may </w:t>
      </w:r>
      <w:r w:rsidR="00B82B1A">
        <w:t xml:space="preserve">be placed </w:t>
      </w:r>
      <w:r w:rsidR="007F7792" w:rsidRPr="00432F22">
        <w:t xml:space="preserve">on the market until exhaustion of stocks. </w:t>
      </w:r>
    </w:p>
    <w:p w14:paraId="7177235F" w14:textId="77777777" w:rsidR="00C637B7" w:rsidRPr="00D52495" w:rsidRDefault="00C637B7" w:rsidP="00C637B7">
      <w:pPr>
        <w:pStyle w:val="Titrearticle"/>
        <w:rPr>
          <w:rStyle w:val="Subtielebenadrukking"/>
          <w:i/>
          <w:iCs w:val="0"/>
        </w:rPr>
      </w:pPr>
      <w:r w:rsidRPr="00CE33B5">
        <w:rPr>
          <w:rStyle w:val="Subtielebenadrukking"/>
          <w:i/>
          <w:iCs w:val="0"/>
        </w:rPr>
        <w:t>Article 1</w:t>
      </w:r>
      <w:r>
        <w:rPr>
          <w:rStyle w:val="Subtielebenadrukking"/>
          <w:i/>
          <w:iCs w:val="0"/>
        </w:rPr>
        <w:t>2</w:t>
      </w:r>
    </w:p>
    <w:p w14:paraId="0294DE83" w14:textId="77777777" w:rsidR="00C637B7" w:rsidRPr="003D0EC7" w:rsidRDefault="00C637B7" w:rsidP="000A1F5D">
      <w:pPr>
        <w:pStyle w:val="NormalCentered"/>
        <w:rPr>
          <w:rStyle w:val="Subtielebenadrukking"/>
        </w:rPr>
      </w:pPr>
      <w:r w:rsidRPr="00A9263E">
        <w:rPr>
          <w:i/>
          <w:iCs/>
        </w:rPr>
        <w:t>Transitional</w:t>
      </w:r>
      <w:r w:rsidRPr="00944214">
        <w:rPr>
          <w:i/>
          <w:iCs/>
        </w:rPr>
        <w:t xml:space="preserve"> provisions</w:t>
      </w:r>
      <w:r>
        <w:rPr>
          <w:rStyle w:val="Subtielebenadrukking"/>
        </w:rPr>
        <w:t xml:space="preserve"> c</w:t>
      </w:r>
      <w:r w:rsidRPr="003D0EC7">
        <w:rPr>
          <w:rStyle w:val="Subtielebenadrukking"/>
        </w:rPr>
        <w:t xml:space="preserve">oncerning repeat-use final food contact </w:t>
      </w:r>
      <w:r>
        <w:rPr>
          <w:rStyle w:val="Subtielebenadrukking"/>
        </w:rPr>
        <w:t>articles</w:t>
      </w:r>
    </w:p>
    <w:p w14:paraId="242909C1" w14:textId="77777777" w:rsidR="00C637B7" w:rsidRDefault="00C637B7" w:rsidP="00D057BE">
      <w:pPr>
        <w:pStyle w:val="NumPar1"/>
        <w:numPr>
          <w:ilvl w:val="0"/>
          <w:numId w:val="18"/>
        </w:numPr>
      </w:pPr>
      <w:r>
        <w:t xml:space="preserve">Repeat-use final </w:t>
      </w:r>
      <w:r w:rsidRPr="00432F22">
        <w:t xml:space="preserve">food contact articles </w:t>
      </w:r>
      <w:r w:rsidR="00B56C64">
        <w:t xml:space="preserve">manufactured using BPA and </w:t>
      </w:r>
      <w:r w:rsidRPr="00432F22">
        <w:t>complying</w:t>
      </w:r>
      <w:r>
        <w:t xml:space="preserve"> </w:t>
      </w:r>
      <w:r w:rsidRPr="00432F22">
        <w:t>with the rules as applicable before the date of entry into force of this Regulation</w:t>
      </w:r>
      <w:r w:rsidR="003B1CFC">
        <w:t xml:space="preserve">, </w:t>
      </w:r>
      <w:r w:rsidR="00223289">
        <w:t xml:space="preserve">which do not comply </w:t>
      </w:r>
      <w:r w:rsidR="003B1CFC">
        <w:t>with the rules in this Regulation,</w:t>
      </w:r>
      <w:r w:rsidRPr="00432F22">
        <w:t xml:space="preserve"> may be </w:t>
      </w:r>
      <w:r>
        <w:t xml:space="preserve">first </w:t>
      </w:r>
      <w:r w:rsidRPr="00432F22">
        <w:t xml:space="preserve">placed on the market until </w:t>
      </w:r>
      <w:r w:rsidRPr="00A86A89">
        <w:rPr>
          <w:i/>
          <w:iCs/>
        </w:rPr>
        <w:t>[insert date 18 months after the entry into force of this Regulation]</w:t>
      </w:r>
      <w:r w:rsidRPr="00432F22">
        <w:t>.</w:t>
      </w:r>
    </w:p>
    <w:p w14:paraId="5567F380" w14:textId="011B2C49" w:rsidR="00C637B7" w:rsidRDefault="00C637B7" w:rsidP="00431373">
      <w:pPr>
        <w:pStyle w:val="NumPar1"/>
        <w:numPr>
          <w:ilvl w:val="0"/>
          <w:numId w:val="6"/>
        </w:numPr>
      </w:pPr>
      <w:r w:rsidRPr="00432F22">
        <w:t xml:space="preserve">By </w:t>
      </w:r>
      <w:r>
        <w:t xml:space="preserve">way of </w:t>
      </w:r>
      <w:r w:rsidRPr="00432F22">
        <w:t xml:space="preserve">derogation from paragraph </w:t>
      </w:r>
      <w:r>
        <w:t>1</w:t>
      </w:r>
      <w:r w:rsidRPr="00432F22">
        <w:t xml:space="preserve">, repeat-use final food contact articles used </w:t>
      </w:r>
      <w:r>
        <w:t>as</w:t>
      </w:r>
      <w:r w:rsidRPr="00432F22">
        <w:t xml:space="preserve"> professional food production equipment</w:t>
      </w:r>
      <w:r w:rsidR="00437C3D">
        <w:t>,</w:t>
      </w:r>
      <w:r w:rsidRPr="00432F22">
        <w:t xml:space="preserve"> complying with the rules as applicable before the date of entry into force of this Regulation</w:t>
      </w:r>
      <w:r>
        <w:t>,</w:t>
      </w:r>
      <w:r w:rsidRPr="00432F22">
        <w:t xml:space="preserve"> </w:t>
      </w:r>
      <w:r w:rsidR="00223289">
        <w:t xml:space="preserve">which do not comply </w:t>
      </w:r>
      <w:r w:rsidR="003B1CFC">
        <w:t xml:space="preserve">with the rules in this Regulation, </w:t>
      </w:r>
      <w:r w:rsidRPr="00432F22">
        <w:t xml:space="preserve">may be </w:t>
      </w:r>
      <w:r>
        <w:t xml:space="preserve">first </w:t>
      </w:r>
      <w:r w:rsidRPr="00432F22">
        <w:t xml:space="preserve">placed on the market until </w:t>
      </w:r>
      <w:r w:rsidRPr="00432F22">
        <w:rPr>
          <w:i/>
          <w:iCs/>
        </w:rPr>
        <w:t>[insert date 36 months after the entry into force of this Regulation]</w:t>
      </w:r>
      <w:r>
        <w:t>.</w:t>
      </w:r>
    </w:p>
    <w:p w14:paraId="0FF563CC" w14:textId="2D23B7AD" w:rsidR="00C637B7" w:rsidRPr="00532349" w:rsidRDefault="00C637B7" w:rsidP="00431373">
      <w:pPr>
        <w:pStyle w:val="NumPar1"/>
        <w:numPr>
          <w:ilvl w:val="0"/>
          <w:numId w:val="6"/>
        </w:numPr>
      </w:pPr>
      <w:r>
        <w:t>Repeat-use final food contact articles that</w:t>
      </w:r>
      <w:r w:rsidRPr="00432F22">
        <w:t xml:space="preserve"> </w:t>
      </w:r>
      <w:r>
        <w:t>were first placed on the market in accordance with paragraphs 1 and 2 may remain on the market until [</w:t>
      </w:r>
      <w:r w:rsidRPr="00860CC5">
        <w:rPr>
          <w:i/>
          <w:iCs/>
        </w:rPr>
        <w:t>insert date 12 months after the date of the relevant transitional provision</w:t>
      </w:r>
      <w:r>
        <w:t>]</w:t>
      </w:r>
      <w:r w:rsidR="003B1CFC">
        <w:t xml:space="preserve"> at the latest</w:t>
      </w:r>
      <w:r>
        <w:t>.</w:t>
      </w:r>
      <w:r w:rsidR="00892562">
        <w:t xml:space="preserve"> </w:t>
      </w:r>
    </w:p>
    <w:p w14:paraId="54024AF8" w14:textId="77777777" w:rsidR="00AC261E" w:rsidRPr="00432F22" w:rsidRDefault="00AC261E" w:rsidP="00AC261E">
      <w:pPr>
        <w:pStyle w:val="Titrearticle"/>
      </w:pPr>
      <w:r w:rsidRPr="00432F22">
        <w:t xml:space="preserve">Article </w:t>
      </w:r>
      <w:r w:rsidR="00B56C64" w:rsidRPr="00432F22">
        <w:t>1</w:t>
      </w:r>
      <w:r w:rsidR="00B56C64">
        <w:t>3</w:t>
      </w:r>
    </w:p>
    <w:p w14:paraId="7702FF55" w14:textId="77777777" w:rsidR="00C71A6B" w:rsidRPr="00432F22" w:rsidRDefault="00C71A6B" w:rsidP="005E1894">
      <w:pPr>
        <w:pStyle w:val="NormalCentered"/>
        <w:rPr>
          <w:i/>
          <w:iCs/>
        </w:rPr>
      </w:pPr>
      <w:r w:rsidRPr="00432F22">
        <w:rPr>
          <w:i/>
          <w:iCs/>
        </w:rPr>
        <w:t>Repeal</w:t>
      </w:r>
    </w:p>
    <w:p w14:paraId="490A47A8" w14:textId="77777777" w:rsidR="00AC261E" w:rsidRPr="00432F22" w:rsidRDefault="00C71A6B" w:rsidP="00C81CCC">
      <w:r w:rsidRPr="00432F22">
        <w:t>Regulation (EU) 2018/213 is repealed.</w:t>
      </w:r>
    </w:p>
    <w:p w14:paraId="2A6BC18A" w14:textId="77777777" w:rsidR="00C71A6B" w:rsidRPr="00432F22" w:rsidRDefault="00EE1FB3">
      <w:pPr>
        <w:pStyle w:val="Titrearticle"/>
      </w:pPr>
      <w:r w:rsidRPr="00432F22">
        <w:t>Article</w:t>
      </w:r>
      <w:r w:rsidR="00B02E8D" w:rsidRPr="00432F22">
        <w:t xml:space="preserve"> </w:t>
      </w:r>
      <w:r w:rsidR="00B56C64" w:rsidRPr="00432F22">
        <w:t>1</w:t>
      </w:r>
      <w:r w:rsidR="00B56C64">
        <w:t>4</w:t>
      </w:r>
      <w:r w:rsidR="00B56C64" w:rsidRPr="00432F22">
        <w:t xml:space="preserve"> </w:t>
      </w:r>
    </w:p>
    <w:p w14:paraId="02EC85E1" w14:textId="77777777" w:rsidR="00EE1FB3" w:rsidRPr="00432F22" w:rsidRDefault="00C71A6B" w:rsidP="005E1894">
      <w:pPr>
        <w:pStyle w:val="NormalCentered"/>
        <w:rPr>
          <w:i/>
          <w:iCs/>
        </w:rPr>
      </w:pPr>
      <w:r w:rsidRPr="00432F22">
        <w:rPr>
          <w:i/>
          <w:iCs/>
        </w:rPr>
        <w:t>E</w:t>
      </w:r>
      <w:r w:rsidR="006A6F50" w:rsidRPr="00432F22">
        <w:rPr>
          <w:i/>
          <w:iCs/>
        </w:rPr>
        <w:t>ntry into force</w:t>
      </w:r>
    </w:p>
    <w:p w14:paraId="46D8CBCD" w14:textId="77777777" w:rsidR="00EE1FB3" w:rsidRDefault="00EE1FB3">
      <w:r w:rsidRPr="00432F22">
        <w:t>This Regulation shall enter into force on the</w:t>
      </w:r>
      <w:r w:rsidR="007D3D45" w:rsidRPr="00432F22">
        <w:t xml:space="preserve"> twentieth </w:t>
      </w:r>
      <w:r w:rsidRPr="00432F22">
        <w:t xml:space="preserve">day following that of its publication in the </w:t>
      </w:r>
      <w:r w:rsidRPr="00432F22">
        <w:rPr>
          <w:i/>
        </w:rPr>
        <w:t>Official Journal of the European Union</w:t>
      </w:r>
      <w:r w:rsidRPr="00432F22">
        <w:t>.</w:t>
      </w:r>
      <w:r w:rsidR="0022228A" w:rsidRPr="00432F22">
        <w:t xml:space="preserve"> </w:t>
      </w:r>
    </w:p>
    <w:p w14:paraId="060F40C2" w14:textId="77777777" w:rsidR="00EE1FB3" w:rsidRPr="00432F22" w:rsidRDefault="00EE1FB3">
      <w:pPr>
        <w:pStyle w:val="Applicationdirecte"/>
      </w:pPr>
      <w:r w:rsidRPr="00432F22">
        <w:lastRenderedPageBreak/>
        <w:t>This Regulation shall be binding in its entirety and directly applicable in all Member States.</w:t>
      </w:r>
    </w:p>
    <w:p w14:paraId="12340F52" w14:textId="2473AE0B" w:rsidR="00EE1FB3" w:rsidRPr="00432F22" w:rsidRDefault="0063142A" w:rsidP="0063142A">
      <w:pPr>
        <w:pStyle w:val="Fait"/>
      </w:pPr>
      <w:r w:rsidRPr="0063142A">
        <w:t>Done at Brussels,</w:t>
      </w:r>
    </w:p>
    <w:p w14:paraId="723C8325" w14:textId="77777777" w:rsidR="00EE1FB3" w:rsidRPr="00432F22" w:rsidRDefault="00EE1FB3" w:rsidP="00EE1FB3">
      <w:pPr>
        <w:pStyle w:val="Institutionquisigne"/>
      </w:pPr>
      <w:r w:rsidRPr="00432F22">
        <w:tab/>
        <w:t>For the Commission</w:t>
      </w:r>
    </w:p>
    <w:p w14:paraId="168011CA" w14:textId="77777777" w:rsidR="00C14AD2" w:rsidRPr="00432F22" w:rsidRDefault="00EE1FB3" w:rsidP="00EE1FB3">
      <w:pPr>
        <w:pStyle w:val="Personnequisigne"/>
        <w:rPr>
          <w:lang w:val="de-AT"/>
        </w:rPr>
      </w:pPr>
      <w:r w:rsidRPr="00432F22">
        <w:tab/>
      </w:r>
      <w:r w:rsidRPr="00432F22">
        <w:rPr>
          <w:lang w:val="de-AT"/>
        </w:rPr>
        <w:t>The President</w:t>
      </w:r>
    </w:p>
    <w:p w14:paraId="4A3722DC" w14:textId="77777777" w:rsidR="00EE1FB3" w:rsidRPr="00F3368A" w:rsidRDefault="00C14AD2" w:rsidP="00EE1FB3">
      <w:pPr>
        <w:pStyle w:val="Personnequisigne"/>
        <w:rPr>
          <w:lang w:val="de-AT"/>
        </w:rPr>
      </w:pPr>
      <w:r w:rsidRPr="00432F22">
        <w:rPr>
          <w:lang w:val="de-AT"/>
        </w:rPr>
        <w:tab/>
        <w:t xml:space="preserve">Ursula </w:t>
      </w:r>
      <w:r w:rsidR="00B06973" w:rsidRPr="00432F22">
        <w:rPr>
          <w:lang w:val="de-AT"/>
        </w:rPr>
        <w:t xml:space="preserve">VON </w:t>
      </w:r>
      <w:r w:rsidRPr="00432F22">
        <w:rPr>
          <w:lang w:val="de-AT"/>
        </w:rPr>
        <w:t>DER LEYEN</w:t>
      </w:r>
    </w:p>
    <w:sectPr w:rsidR="00EE1FB3" w:rsidRPr="00F3368A" w:rsidSect="002C0542">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5145C" w14:textId="77777777" w:rsidR="004677ED" w:rsidRDefault="004677ED" w:rsidP="00EE1FB3">
      <w:pPr>
        <w:spacing w:before="0" w:after="0"/>
      </w:pPr>
      <w:r>
        <w:separator/>
      </w:r>
    </w:p>
  </w:endnote>
  <w:endnote w:type="continuationSeparator" w:id="0">
    <w:p w14:paraId="715F7D53" w14:textId="77777777" w:rsidR="004677ED" w:rsidRDefault="004677ED" w:rsidP="00EE1FB3">
      <w:pPr>
        <w:spacing w:before="0" w:after="0"/>
      </w:pPr>
      <w:r>
        <w:continuationSeparator/>
      </w:r>
    </w:p>
  </w:endnote>
  <w:endnote w:type="continuationNotice" w:id="1">
    <w:p w14:paraId="00D582D3" w14:textId="77777777" w:rsidR="004677ED" w:rsidRDefault="004677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5CC9" w14:textId="484E88BE" w:rsidR="000728DB" w:rsidRPr="002C0542" w:rsidRDefault="002C0542" w:rsidP="002C0542">
    <w:pPr>
      <w:pStyle w:val="Voettekst"/>
      <w:rPr>
        <w:rFonts w:ascii="Arial" w:hAnsi="Arial" w:cs="Arial"/>
        <w:b/>
        <w:sz w:val="48"/>
      </w:rPr>
    </w:pPr>
    <w:r w:rsidRPr="002C0542">
      <w:rPr>
        <w:rFonts w:ascii="Arial" w:hAnsi="Arial" w:cs="Arial"/>
        <w:b/>
        <w:sz w:val="48"/>
      </w:rPr>
      <w:t>EN</w:t>
    </w:r>
    <w:r w:rsidRPr="002C0542">
      <w:rPr>
        <w:rFonts w:ascii="Arial" w:hAnsi="Arial" w:cs="Arial"/>
        <w:b/>
        <w:sz w:val="48"/>
      </w:rPr>
      <w:tab/>
    </w:r>
    <w:r w:rsidRPr="002C0542">
      <w:rPr>
        <w:rFonts w:ascii="Arial" w:hAnsi="Arial" w:cs="Arial"/>
        <w:b/>
        <w:sz w:val="48"/>
      </w:rPr>
      <w:tab/>
    </w:r>
    <w:r w:rsidRPr="002C0542">
      <w:tab/>
    </w:r>
    <w:r w:rsidRPr="002C0542">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C3EB4" w14:textId="4975F23A" w:rsidR="000728DB" w:rsidRPr="002C0542" w:rsidRDefault="002C0542" w:rsidP="002C0542">
    <w:pPr>
      <w:pStyle w:val="Voettekst"/>
      <w:rPr>
        <w:rFonts w:ascii="Arial" w:hAnsi="Arial" w:cs="Arial"/>
        <w:b/>
        <w:sz w:val="48"/>
      </w:rPr>
    </w:pPr>
    <w:r w:rsidRPr="002C0542">
      <w:rPr>
        <w:rFonts w:ascii="Arial" w:hAnsi="Arial" w:cs="Arial"/>
        <w:b/>
        <w:sz w:val="48"/>
      </w:rPr>
      <w:t>EN</w:t>
    </w:r>
    <w:r w:rsidRPr="002C0542">
      <w:rPr>
        <w:rFonts w:ascii="Arial" w:hAnsi="Arial" w:cs="Arial"/>
        <w:b/>
        <w:sz w:val="48"/>
      </w:rPr>
      <w:tab/>
    </w:r>
    <w:r w:rsidRPr="002C0542">
      <w:rPr>
        <w:rFonts w:ascii="Arial" w:hAnsi="Arial" w:cs="Arial"/>
        <w:b/>
        <w:sz w:val="48"/>
      </w:rPr>
      <w:tab/>
    </w:r>
    <w:r w:rsidRPr="002C0542">
      <w:tab/>
    </w:r>
    <w:r w:rsidRPr="002C054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3FE64" w14:textId="77777777" w:rsidR="0063142A" w:rsidRPr="002C0542" w:rsidRDefault="0063142A" w:rsidP="002C054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264DC" w14:textId="1C826668" w:rsidR="002C0542" w:rsidRPr="002C0542" w:rsidRDefault="002C0542" w:rsidP="002C0542">
    <w:pPr>
      <w:pStyle w:val="Voettekst"/>
      <w:rPr>
        <w:rFonts w:ascii="Arial" w:hAnsi="Arial" w:cs="Arial"/>
        <w:b/>
        <w:sz w:val="48"/>
      </w:rPr>
    </w:pPr>
    <w:r w:rsidRPr="002C0542">
      <w:rPr>
        <w:rFonts w:ascii="Arial" w:hAnsi="Arial" w:cs="Arial"/>
        <w:b/>
        <w:sz w:val="48"/>
      </w:rPr>
      <w:t>EN</w:t>
    </w:r>
    <w:r w:rsidRPr="002C054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C0542">
      <w:tab/>
    </w:r>
    <w:r w:rsidRPr="002C0542">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B454" w14:textId="77777777" w:rsidR="002C0542" w:rsidRPr="002C0542" w:rsidRDefault="002C0542" w:rsidP="002C05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34A02" w14:textId="77777777" w:rsidR="004677ED" w:rsidRDefault="004677ED" w:rsidP="00EE1FB3">
      <w:pPr>
        <w:spacing w:before="0" w:after="0"/>
      </w:pPr>
      <w:r>
        <w:rPr>
          <w:noProof/>
        </w:rPr>
        <mc:AlternateContent>
          <mc:Choice Requires="wps">
            <w:drawing>
              <wp:anchor distT="0" distB="0" distL="114300" distR="114300" simplePos="0" relativeHeight="251674624" behindDoc="0" locked="0" layoutInCell="1" allowOverlap="1" wp14:anchorId="007AE91A" wp14:editId="064D2AAB">
                <wp:simplePos x="0" y="0"/>
                <wp:positionH relativeFrom="column">
                  <wp:posOffset>0</wp:posOffset>
                </wp:positionH>
                <wp:positionV relativeFrom="paragraph">
                  <wp:posOffset>0</wp:posOffset>
                </wp:positionV>
                <wp:extent cx="47625" cy="19050"/>
                <wp:effectExtent l="9525" t="47625" r="9525" b="9525"/>
                <wp:wrapNone/>
                <wp:docPr id="60651626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9050"/>
                        </a:xfrm>
                        <a:prstGeom prst="rect">
                          <a:avLst/>
                        </a:prstGeom>
                        <a:extLst>
                          <a:ext uri="{AF507438-7753-43E0-B8FC-AC1667EBCBE1}">
                            <a14:hiddenEffects xmlns:a14="http://schemas.microsoft.com/office/drawing/2010/main">
                              <a:effectLst/>
                            </a14:hiddenEffects>
                          </a:ext>
                        </a:extLst>
                      </wps:spPr>
                      <wps:txbx>
                        <w:txbxContent>
                          <w:p w14:paraId="2454B869"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7AE91A" id="_x0000_t202" coordsize="21600,21600" o:spt="202" path="m,l,21600r21600,l21600,xe">
                <v:stroke joinstyle="miter"/>
                <v:path gradientshapeok="t" o:connecttype="rect"/>
              </v:shapetype>
              <v:shape id="WordArt 16" o:spid="_x0000_s1026" type="#_x0000_t202" style="position:absolute;left:0;text-align:left;margin-left:0;margin-top:0;width:3.7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F56wEAALI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" filled="f" stroked="f">
                <o:lock v:ext="edit" shapetype="t"/>
                <v:textbox style="mso-fit-shape-to-text:t">
                  <w:txbxContent>
                    <w:p w14:paraId="2454B869"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96A99A5" wp14:editId="699524C4">
                <wp:simplePos x="0" y="0"/>
                <wp:positionH relativeFrom="column">
                  <wp:posOffset>0</wp:posOffset>
                </wp:positionH>
                <wp:positionV relativeFrom="paragraph">
                  <wp:posOffset>0</wp:posOffset>
                </wp:positionV>
                <wp:extent cx="47625" cy="19050"/>
                <wp:effectExtent l="9525" t="47625" r="9525" b="9525"/>
                <wp:wrapNone/>
                <wp:docPr id="1591688209"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9050"/>
                        </a:xfrm>
                        <a:prstGeom prst="rect">
                          <a:avLst/>
                        </a:prstGeom>
                        <a:extLst>
                          <a:ext uri="{AF507438-7753-43E0-B8FC-AC1667EBCBE1}">
                            <a14:hiddenEffects xmlns:a14="http://schemas.microsoft.com/office/drawing/2010/main">
                              <a:effectLst/>
                            </a14:hiddenEffects>
                          </a:ext>
                        </a:extLst>
                      </wps:spPr>
                      <wps:txbx>
                        <w:txbxContent>
                          <w:p w14:paraId="09C7D3FC"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6A99A5" id="WordArt 15" o:spid="_x0000_s1027" type="#_x0000_t202" style="position:absolute;left:0;text-align:left;margin-left:0;margin-top:0;width:3.7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" filled="f" stroked="f">
                <o:lock v:ext="edit" shapetype="t"/>
                <v:textbox style="mso-fit-shape-to-text:t">
                  <w:txbxContent>
                    <w:p w14:paraId="09C7D3FC"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9B05B48" wp14:editId="1DAA9819">
                <wp:simplePos x="0" y="0"/>
                <wp:positionH relativeFrom="column">
                  <wp:posOffset>0</wp:posOffset>
                </wp:positionH>
                <wp:positionV relativeFrom="paragraph">
                  <wp:posOffset>0</wp:posOffset>
                </wp:positionV>
                <wp:extent cx="47625" cy="19050"/>
                <wp:effectExtent l="9525" t="47625" r="9525" b="9525"/>
                <wp:wrapNone/>
                <wp:docPr id="905451665"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9050"/>
                        </a:xfrm>
                        <a:prstGeom prst="rect">
                          <a:avLst/>
                        </a:prstGeom>
                        <a:extLst>
                          <a:ext uri="{AF507438-7753-43E0-B8FC-AC1667EBCBE1}">
                            <a14:hiddenEffects xmlns:a14="http://schemas.microsoft.com/office/drawing/2010/main">
                              <a:effectLst/>
                            </a14:hiddenEffects>
                          </a:ext>
                        </a:extLst>
                      </wps:spPr>
                      <wps:txbx>
                        <w:txbxContent>
                          <w:p w14:paraId="1DC3C651"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B05B48" id="WordArt 14" o:spid="_x0000_s1028" type="#_x0000_t202" style="position:absolute;left:0;text-align:left;margin-left:0;margin-top:0;width:3.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" filled="f" stroked="f">
                <o:lock v:ext="edit" shapetype="t"/>
                <v:textbox style="mso-fit-shape-to-text:t">
                  <w:txbxContent>
                    <w:p w14:paraId="1DC3C651"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499C0BD" wp14:editId="0983DB58">
                <wp:simplePos x="0" y="0"/>
                <wp:positionH relativeFrom="column">
                  <wp:posOffset>0</wp:posOffset>
                </wp:positionH>
                <wp:positionV relativeFrom="paragraph">
                  <wp:posOffset>0</wp:posOffset>
                </wp:positionV>
                <wp:extent cx="47625" cy="19050"/>
                <wp:effectExtent l="9525" t="47625" r="9525" b="9525"/>
                <wp:wrapNone/>
                <wp:docPr id="1343979624"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9050"/>
                        </a:xfrm>
                        <a:prstGeom prst="rect">
                          <a:avLst/>
                        </a:prstGeom>
                        <a:extLst>
                          <a:ext uri="{AF507438-7753-43E0-B8FC-AC1667EBCBE1}">
                            <a14:hiddenEffects xmlns:a14="http://schemas.microsoft.com/office/drawing/2010/main">
                              <a:effectLst/>
                            </a14:hiddenEffects>
                          </a:ext>
                        </a:extLst>
                      </wps:spPr>
                      <wps:txbx>
                        <w:txbxContent>
                          <w:p w14:paraId="4761869F"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99C0BD" id="WordArt 13" o:spid="_x0000_s1029" type="#_x0000_t202" style="position:absolute;left:0;text-align:left;margin-left:0;margin-top:0;width:3.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" filled="f" stroked="f">
                <o:lock v:ext="edit" shapetype="t"/>
                <v:textbox style="mso-fit-shape-to-text:t">
                  <w:txbxContent>
                    <w:p w14:paraId="4761869F"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28279CA" wp14:editId="0287046B">
                <wp:simplePos x="0" y="0"/>
                <wp:positionH relativeFrom="column">
                  <wp:posOffset>0</wp:posOffset>
                </wp:positionH>
                <wp:positionV relativeFrom="paragraph">
                  <wp:posOffset>0</wp:posOffset>
                </wp:positionV>
                <wp:extent cx="47625" cy="19050"/>
                <wp:effectExtent l="9525" t="47625" r="9525" b="9525"/>
                <wp:wrapNone/>
                <wp:docPr id="25275966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9050"/>
                        </a:xfrm>
                        <a:prstGeom prst="rect">
                          <a:avLst/>
                        </a:prstGeom>
                        <a:extLst>
                          <a:ext uri="{AF507438-7753-43E0-B8FC-AC1667EBCBE1}">
                            <a14:hiddenEffects xmlns:a14="http://schemas.microsoft.com/office/drawing/2010/main">
                              <a:effectLst/>
                            </a14:hiddenEffects>
                          </a:ext>
                        </a:extLst>
                      </wps:spPr>
                      <wps:txbx>
                        <w:txbxContent>
                          <w:p w14:paraId="6E3D7945"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8279CA" id="WordArt 12" o:spid="_x0000_s1030" type="#_x0000_t202" style="position:absolute;left:0;text-align:left;margin-left:0;margin-top:0;width:3.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" filled="f" stroked="f">
                <o:lock v:ext="edit" shapetype="t"/>
                <v:textbox style="mso-fit-shape-to-text:t">
                  <w:txbxContent>
                    <w:p w14:paraId="6E3D7945"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0C11BAB" wp14:editId="5B4F3BB3">
                <wp:simplePos x="0" y="0"/>
                <wp:positionH relativeFrom="column">
                  <wp:posOffset>0</wp:posOffset>
                </wp:positionH>
                <wp:positionV relativeFrom="paragraph">
                  <wp:posOffset>0</wp:posOffset>
                </wp:positionV>
                <wp:extent cx="47625" cy="19050"/>
                <wp:effectExtent l="9525" t="47625" r="9525" b="9525"/>
                <wp:wrapNone/>
                <wp:docPr id="1570254805"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9050"/>
                        </a:xfrm>
                        <a:prstGeom prst="rect">
                          <a:avLst/>
                        </a:prstGeom>
                        <a:extLst>
                          <a:ext uri="{AF507438-7753-43E0-B8FC-AC1667EBCBE1}">
                            <a14:hiddenEffects xmlns:a14="http://schemas.microsoft.com/office/drawing/2010/main">
                              <a:effectLst/>
                            </a14:hiddenEffects>
                          </a:ext>
                        </a:extLst>
                      </wps:spPr>
                      <wps:txbx>
                        <w:txbxContent>
                          <w:p w14:paraId="20400E63"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C11BAB" id="WordArt 11" o:spid="_x0000_s1031" type="#_x0000_t202" style="position:absolute;left:0;text-align:left;margin-left:0;margin-top:0;width:3.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" filled="f" stroked="f">
                <o:lock v:ext="edit" shapetype="t"/>
                <v:textbox style="mso-fit-shape-to-text:t">
                  <w:txbxContent>
                    <w:p w14:paraId="20400E63"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9B224F0" wp14:editId="123FB5AD">
                <wp:simplePos x="0" y="0"/>
                <wp:positionH relativeFrom="column">
                  <wp:posOffset>0</wp:posOffset>
                </wp:positionH>
                <wp:positionV relativeFrom="paragraph">
                  <wp:posOffset>0</wp:posOffset>
                </wp:positionV>
                <wp:extent cx="47625" cy="19050"/>
                <wp:effectExtent l="9525" t="47625" r="9525" b="9525"/>
                <wp:wrapNone/>
                <wp:docPr id="56331452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9050"/>
                        </a:xfrm>
                        <a:prstGeom prst="rect">
                          <a:avLst/>
                        </a:prstGeom>
                        <a:extLst>
                          <a:ext uri="{AF507438-7753-43E0-B8FC-AC1667EBCBE1}">
                            <a14:hiddenEffects xmlns:a14="http://schemas.microsoft.com/office/drawing/2010/main">
                              <a:effectLst/>
                            </a14:hiddenEffects>
                          </a:ext>
                        </a:extLst>
                      </wps:spPr>
                      <wps:txbx>
                        <w:txbxContent>
                          <w:p w14:paraId="19C4DBD6"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B224F0" id="WordArt 10" o:spid="_x0000_s1032" type="#_x0000_t202" style="position:absolute;left:0;text-align:left;margin-left:0;margin-top:0;width:3.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" filled="f" stroked="f">
                <o:lock v:ext="edit" shapetype="t"/>
                <v:textbox style="mso-fit-shape-to-text:t">
                  <w:txbxContent>
                    <w:p w14:paraId="19C4DBD6"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12960F3" wp14:editId="1B791F79">
                <wp:simplePos x="0" y="0"/>
                <wp:positionH relativeFrom="column">
                  <wp:posOffset>0</wp:posOffset>
                </wp:positionH>
                <wp:positionV relativeFrom="paragraph">
                  <wp:posOffset>0</wp:posOffset>
                </wp:positionV>
                <wp:extent cx="47625" cy="19050"/>
                <wp:effectExtent l="9525" t="47625" r="9525" b="9525"/>
                <wp:wrapNone/>
                <wp:docPr id="50338968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9050"/>
                        </a:xfrm>
                        <a:prstGeom prst="rect">
                          <a:avLst/>
                        </a:prstGeom>
                        <a:extLst>
                          <a:ext uri="{AF507438-7753-43E0-B8FC-AC1667EBCBE1}">
                            <a14:hiddenEffects xmlns:a14="http://schemas.microsoft.com/office/drawing/2010/main">
                              <a:effectLst/>
                            </a14:hiddenEffects>
                          </a:ext>
                        </a:extLst>
                      </wps:spPr>
                      <wps:txbx>
                        <w:txbxContent>
                          <w:p w14:paraId="1856BD2E"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2960F3" id="WordArt 9" o:spid="_x0000_s1033" type="#_x0000_t202" style="position:absolute;left:0;text-align:left;margin-left:0;margin-top:0;width:3.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" filled="f" stroked="f">
                <o:lock v:ext="edit" shapetype="t"/>
                <v:textbox style="mso-fit-shape-to-text:t">
                  <w:txbxContent>
                    <w:p w14:paraId="1856BD2E"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0B92C97" wp14:editId="2AF06936">
                <wp:simplePos x="0" y="0"/>
                <wp:positionH relativeFrom="column">
                  <wp:posOffset>0</wp:posOffset>
                </wp:positionH>
                <wp:positionV relativeFrom="paragraph">
                  <wp:posOffset>0</wp:posOffset>
                </wp:positionV>
                <wp:extent cx="47625" cy="19050"/>
                <wp:effectExtent l="9525" t="47625" r="9525" b="9525"/>
                <wp:wrapNone/>
                <wp:docPr id="1578437656"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9050"/>
                        </a:xfrm>
                        <a:prstGeom prst="rect">
                          <a:avLst/>
                        </a:prstGeom>
                        <a:extLst>
                          <a:ext uri="{AF507438-7753-43E0-B8FC-AC1667EBCBE1}">
                            <a14:hiddenEffects xmlns:a14="http://schemas.microsoft.com/office/drawing/2010/main">
                              <a:effectLst/>
                            </a14:hiddenEffects>
                          </a:ext>
                        </a:extLst>
                      </wps:spPr>
                      <wps:txbx>
                        <w:txbxContent>
                          <w:p w14:paraId="02967DEA"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B92C97" id="WordArt 8" o:spid="_x0000_s1034" type="#_x0000_t202" style="position:absolute;left:0;text-align:left;margin-left:0;margin-top:0;width:3.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" filled="f" stroked="f">
                <o:lock v:ext="edit" shapetype="t"/>
                <v:textbox style="mso-fit-shape-to-text:t">
                  <w:txbxContent>
                    <w:p w14:paraId="02967DEA"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400F39D" wp14:editId="138EB451">
                <wp:simplePos x="0" y="0"/>
                <wp:positionH relativeFrom="column">
                  <wp:posOffset>0</wp:posOffset>
                </wp:positionH>
                <wp:positionV relativeFrom="paragraph">
                  <wp:posOffset>0</wp:posOffset>
                </wp:positionV>
                <wp:extent cx="47625" cy="19050"/>
                <wp:effectExtent l="9525" t="47625" r="9525" b="9525"/>
                <wp:wrapNone/>
                <wp:docPr id="1695533435"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9050"/>
                        </a:xfrm>
                        <a:prstGeom prst="rect">
                          <a:avLst/>
                        </a:prstGeom>
                        <a:extLst>
                          <a:ext uri="{AF507438-7753-43E0-B8FC-AC1667EBCBE1}">
                            <a14:hiddenEffects xmlns:a14="http://schemas.microsoft.com/office/drawing/2010/main">
                              <a:effectLst/>
                            </a14:hiddenEffects>
                          </a:ext>
                        </a:extLst>
                      </wps:spPr>
                      <wps:txbx>
                        <w:txbxContent>
                          <w:p w14:paraId="78F154FC"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00F39D" id="WordArt 7" o:spid="_x0000_s1035" type="#_x0000_t202" style="position:absolute;left:0;text-align:left;margin-left:0;margin-top:0;width:3.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" filled="f" stroked="f">
                <o:lock v:ext="edit" shapetype="t"/>
                <v:textbox style="mso-fit-shape-to-text:t">
                  <w:txbxContent>
                    <w:p w14:paraId="78F154FC"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4A83894" wp14:editId="248F659A">
                <wp:simplePos x="0" y="0"/>
                <wp:positionH relativeFrom="column">
                  <wp:posOffset>0</wp:posOffset>
                </wp:positionH>
                <wp:positionV relativeFrom="paragraph">
                  <wp:posOffset>0</wp:posOffset>
                </wp:positionV>
                <wp:extent cx="47625" cy="19050"/>
                <wp:effectExtent l="9525" t="47625" r="9525" b="9525"/>
                <wp:wrapNone/>
                <wp:docPr id="206090800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9050"/>
                        </a:xfrm>
                        <a:prstGeom prst="rect">
                          <a:avLst/>
                        </a:prstGeom>
                        <a:extLst>
                          <a:ext uri="{AF507438-7753-43E0-B8FC-AC1667EBCBE1}">
                            <a14:hiddenEffects xmlns:a14="http://schemas.microsoft.com/office/drawing/2010/main">
                              <a:effectLst/>
                            </a14:hiddenEffects>
                          </a:ext>
                        </a:extLst>
                      </wps:spPr>
                      <wps:txbx>
                        <w:txbxContent>
                          <w:p w14:paraId="50287839"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A83894" id="WordArt 6" o:spid="_x0000_s1036" type="#_x0000_t202" style="position:absolute;left:0;text-align:left;margin-left:0;margin-top:0;width:3.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" filled="f" stroked="f">
                <o:lock v:ext="edit" shapetype="t"/>
                <v:textbox style="mso-fit-shape-to-text:t">
                  <w:txbxContent>
                    <w:p w14:paraId="50287839"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C3984A3" wp14:editId="35A223D4">
                <wp:simplePos x="0" y="0"/>
                <wp:positionH relativeFrom="column">
                  <wp:posOffset>0</wp:posOffset>
                </wp:positionH>
                <wp:positionV relativeFrom="paragraph">
                  <wp:posOffset>0</wp:posOffset>
                </wp:positionV>
                <wp:extent cx="47625" cy="19050"/>
                <wp:effectExtent l="9525" t="47625" r="9525" b="9525"/>
                <wp:wrapNone/>
                <wp:docPr id="175195737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9050"/>
                        </a:xfrm>
                        <a:prstGeom prst="rect">
                          <a:avLst/>
                        </a:prstGeom>
                        <a:extLst>
                          <a:ext uri="{AF507438-7753-43E0-B8FC-AC1667EBCBE1}">
                            <a14:hiddenEffects xmlns:a14="http://schemas.microsoft.com/office/drawing/2010/main">
                              <a:effectLst/>
                            </a14:hiddenEffects>
                          </a:ext>
                        </a:extLst>
                      </wps:spPr>
                      <wps:txbx>
                        <w:txbxContent>
                          <w:p w14:paraId="785C6A2C"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3984A3" id="WordArt 5" o:spid="_x0000_s1037" type="#_x0000_t202" style="position:absolute;left:0;text-align:left;margin-left:0;margin-top:0;width:3.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" filled="f" stroked="f">
                <o:lock v:ext="edit" shapetype="t"/>
                <v:textbox style="mso-fit-shape-to-text:t">
                  <w:txbxContent>
                    <w:p w14:paraId="785C6A2C"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84541DA" wp14:editId="03FC06C4">
                <wp:simplePos x="0" y="0"/>
                <wp:positionH relativeFrom="column">
                  <wp:posOffset>0</wp:posOffset>
                </wp:positionH>
                <wp:positionV relativeFrom="paragraph">
                  <wp:posOffset>0</wp:posOffset>
                </wp:positionV>
                <wp:extent cx="47625" cy="19050"/>
                <wp:effectExtent l="9525" t="47625" r="9525" b="9525"/>
                <wp:wrapNone/>
                <wp:docPr id="214376400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9050"/>
                        </a:xfrm>
                        <a:prstGeom prst="rect">
                          <a:avLst/>
                        </a:prstGeom>
                        <a:extLst>
                          <a:ext uri="{AF507438-7753-43E0-B8FC-AC1667EBCBE1}">
                            <a14:hiddenEffects xmlns:a14="http://schemas.microsoft.com/office/drawing/2010/main">
                              <a:effectLst/>
                            </a14:hiddenEffects>
                          </a:ext>
                        </a:extLst>
                      </wps:spPr>
                      <wps:txbx>
                        <w:txbxContent>
                          <w:p w14:paraId="2AF250D8"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4541DA" id="WordArt 4" o:spid="_x0000_s1038" type="#_x0000_t202" style="position:absolute;left:0;text-align:left;margin-left:0;margin-top:0;width:3.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" filled="f" stroked="f">
                <o:lock v:ext="edit" shapetype="t"/>
                <v:textbox style="mso-fit-shape-to-text:t">
                  <w:txbxContent>
                    <w:p w14:paraId="2AF250D8"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69C3403" wp14:editId="61845ABD">
                <wp:simplePos x="0" y="0"/>
                <wp:positionH relativeFrom="column">
                  <wp:posOffset>0</wp:posOffset>
                </wp:positionH>
                <wp:positionV relativeFrom="paragraph">
                  <wp:posOffset>0</wp:posOffset>
                </wp:positionV>
                <wp:extent cx="47625" cy="19050"/>
                <wp:effectExtent l="9525" t="47625" r="9525" b="9525"/>
                <wp:wrapNone/>
                <wp:docPr id="39757390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9050"/>
                        </a:xfrm>
                        <a:prstGeom prst="rect">
                          <a:avLst/>
                        </a:prstGeom>
                        <a:extLst>
                          <a:ext uri="{AF507438-7753-43E0-B8FC-AC1667EBCBE1}">
                            <a14:hiddenEffects xmlns:a14="http://schemas.microsoft.com/office/drawing/2010/main">
                              <a:effectLst/>
                            </a14:hiddenEffects>
                          </a:ext>
                        </a:extLst>
                      </wps:spPr>
                      <wps:txbx>
                        <w:txbxContent>
                          <w:p w14:paraId="7AF3953A"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9C3403" id="WordArt 3" o:spid="_x0000_s1039" type="#_x0000_t202" style="position:absolute;left:0;text-align:left;margin-left:0;margin-top:0;width:3.7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" filled="f" stroked="f">
                <o:lock v:ext="edit" shapetype="t"/>
                <v:textbox style="mso-fit-shape-to-text:t">
                  <w:txbxContent>
                    <w:p w14:paraId="7AF3953A"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D99E40C" wp14:editId="03CE5C9B">
                <wp:simplePos x="0" y="0"/>
                <wp:positionH relativeFrom="column">
                  <wp:posOffset>0</wp:posOffset>
                </wp:positionH>
                <wp:positionV relativeFrom="paragraph">
                  <wp:posOffset>0</wp:posOffset>
                </wp:positionV>
                <wp:extent cx="47625" cy="19050"/>
                <wp:effectExtent l="9525" t="47625" r="9525" b="9525"/>
                <wp:wrapNone/>
                <wp:docPr id="26112784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9050"/>
                        </a:xfrm>
                        <a:prstGeom prst="rect">
                          <a:avLst/>
                        </a:prstGeom>
                        <a:extLst>
                          <a:ext uri="{AF507438-7753-43E0-B8FC-AC1667EBCBE1}">
                            <a14:hiddenEffects xmlns:a14="http://schemas.microsoft.com/office/drawing/2010/main">
                              <a:effectLst/>
                            </a14:hiddenEffects>
                          </a:ext>
                        </a:extLst>
                      </wps:spPr>
                      <wps:txbx>
                        <w:txbxContent>
                          <w:p w14:paraId="3138135B"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99E40C" id="WordArt 2" o:spid="_x0000_s1040" type="#_x0000_t202" style="position:absolute;left:0;text-align:left;margin-left:0;margin-top:0;width:3.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" filled="f" stroked="f">
                <o:lock v:ext="edit" shapetype="t"/>
                <v:textbox style="mso-fit-shape-to-text:t">
                  <w:txbxContent>
                    <w:p w14:paraId="3138135B"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EC35B49" wp14:editId="4791C31B">
                <wp:simplePos x="0" y="0"/>
                <wp:positionH relativeFrom="column">
                  <wp:posOffset>0</wp:posOffset>
                </wp:positionH>
                <wp:positionV relativeFrom="paragraph">
                  <wp:posOffset>0</wp:posOffset>
                </wp:positionV>
                <wp:extent cx="47625" cy="19050"/>
                <wp:effectExtent l="9525" t="47625" r="9525" b="9525"/>
                <wp:wrapNone/>
                <wp:docPr id="18522638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19050"/>
                        </a:xfrm>
                        <a:prstGeom prst="rect">
                          <a:avLst/>
                        </a:prstGeom>
                        <a:extLst>
                          <a:ext uri="{AF507438-7753-43E0-B8FC-AC1667EBCBE1}">
                            <a14:hiddenEffects xmlns:a14="http://schemas.microsoft.com/office/drawing/2010/main">
                              <a:effectLst/>
                            </a14:hiddenEffects>
                          </a:ext>
                        </a:extLst>
                      </wps:spPr>
                      <wps:txbx>
                        <w:txbxContent>
                          <w:p w14:paraId="19194DAE"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C35B49" id="WordArt 1" o:spid="_x0000_s1041" type="#_x0000_t202" style="position:absolute;left:0;text-align:left;margin-left:0;margin-top:0;width:3.7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" filled="f" stroked="f">
                <o:lock v:ext="edit" shapetype="t"/>
                <v:textbox style="mso-fit-shape-to-text:t">
                  <w:txbxContent>
                    <w:p w14:paraId="19194DAE" w14:textId="77777777" w:rsidR="004677ED" w:rsidRDefault="004677ED" w:rsidP="009F0E38">
                      <w:pPr>
                        <w:jc w:val="cente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outline/>
                          <w:color w:val="000000"/>
                          <w:sz w:val="2"/>
                          <w:szCs w:val="2"/>
                          <w14:textOutline w14:w="9525" w14:cap="flat" w14:cmpd="sng" w14:algn="ctr">
                            <w14:solidFill>
                              <w14:srgbClr w14:val="000000"/>
                            </w14:solidFill>
                            <w14:prstDash w14:val="solid"/>
                            <w14:round/>
                          </w14:textOutline>
                          <w14:textFill>
                            <w14:solidFill>
                              <w14:srgbClr w14:val="FFFFFF"/>
                            </w14:solidFill>
                          </w14:textFill>
                        </w:rPr>
                        <w:t>DRAFT</w:t>
                      </w:r>
                    </w:p>
                  </w:txbxContent>
                </v:textbox>
              </v:shape>
            </w:pict>
          </mc:Fallback>
        </mc:AlternateContent>
      </w:r>
      <w:r>
        <w:separator/>
      </w:r>
    </w:p>
  </w:footnote>
  <w:footnote w:type="continuationSeparator" w:id="0">
    <w:p w14:paraId="3CC44895" w14:textId="77777777" w:rsidR="004677ED" w:rsidRDefault="004677ED" w:rsidP="00EE1FB3">
      <w:pPr>
        <w:spacing w:before="0" w:after="0"/>
      </w:pPr>
      <w:r>
        <w:continuationSeparator/>
      </w:r>
    </w:p>
  </w:footnote>
  <w:footnote w:type="continuationNotice" w:id="1">
    <w:p w14:paraId="05C0EA38" w14:textId="77777777" w:rsidR="004677ED" w:rsidRDefault="004677ED">
      <w:pPr>
        <w:spacing w:before="0" w:after="0"/>
      </w:pPr>
    </w:p>
  </w:footnote>
  <w:footnote w:id="2">
    <w:p w14:paraId="6FF0840D" w14:textId="77777777" w:rsidR="007151A8" w:rsidRPr="00765F53" w:rsidRDefault="007151A8" w:rsidP="007151A8">
      <w:pPr>
        <w:pStyle w:val="Voetnoottekst"/>
        <w:rPr>
          <w:lang w:val="fi-FI"/>
        </w:rPr>
      </w:pPr>
      <w:r>
        <w:rPr>
          <w:rStyle w:val="Voetnootmarkering"/>
        </w:rPr>
        <w:footnoteRef/>
      </w:r>
      <w:r w:rsidRPr="00765F53">
        <w:rPr>
          <w:lang w:val="fi-FI"/>
        </w:rPr>
        <w:tab/>
        <w:t>OJ L 338, 13.11.2004, p. 4</w:t>
      </w:r>
      <w:r w:rsidR="00765F53" w:rsidRPr="00765F53">
        <w:rPr>
          <w:lang w:val="fi-FI"/>
        </w:rPr>
        <w:t xml:space="preserve">, ELI: </w:t>
      </w:r>
      <w:hyperlink r:id="rId1" w:history="1">
        <w:r w:rsidR="00765F53" w:rsidRPr="00912E85">
          <w:rPr>
            <w:rStyle w:val="Hyperlink"/>
            <w:lang w:val="fi-FI"/>
          </w:rPr>
          <w:t>http://data.europa.eu/eli/reg/2004/1935/oj</w:t>
        </w:r>
      </w:hyperlink>
      <w:r w:rsidR="001C0548" w:rsidRPr="00765F53">
        <w:rPr>
          <w:lang w:val="fi-FI"/>
        </w:rPr>
        <w:t>.</w:t>
      </w:r>
    </w:p>
  </w:footnote>
  <w:footnote w:id="3">
    <w:p w14:paraId="7906DCCE" w14:textId="77777777" w:rsidR="008A61AC" w:rsidRPr="00A46C24" w:rsidRDefault="008A61AC">
      <w:pPr>
        <w:pStyle w:val="Voetnoottekst"/>
      </w:pPr>
      <w:r>
        <w:rPr>
          <w:rStyle w:val="Voetnootmarkering"/>
        </w:rPr>
        <w:footnoteRef/>
      </w:r>
      <w:r w:rsidRPr="00A46C24">
        <w:tab/>
      </w:r>
      <w:r w:rsidR="00A46C24" w:rsidRPr="003B6BE6">
        <w:t xml:space="preserve">Commission Regulation (EU) No 10/2011 of 14 January 2011 on plastic materials and articles intended to come into contact </w:t>
      </w:r>
      <w:r w:rsidR="00E12E40">
        <w:t xml:space="preserve">with food </w:t>
      </w:r>
      <w:r w:rsidR="00A46C24">
        <w:t>(</w:t>
      </w:r>
      <w:r w:rsidRPr="00A46C24">
        <w:t>OJ L 12, 15.1.2011, p. 1</w:t>
      </w:r>
      <w:r w:rsidR="004641B6">
        <w:t xml:space="preserve">, </w:t>
      </w:r>
      <w:r w:rsidR="004641B6" w:rsidRPr="00774BA5">
        <w:t>ELI: </w:t>
      </w:r>
      <w:hyperlink r:id="rId2" w:tooltip="Gives access to this document through its ELI URI." w:history="1">
        <w:r w:rsidR="004641B6" w:rsidRPr="00774BA5">
          <w:rPr>
            <w:rStyle w:val="Hyperlink"/>
          </w:rPr>
          <w:t>http://data.europa.eu/eli/reg/2011/10/oj</w:t>
        </w:r>
      </w:hyperlink>
      <w:r w:rsidR="00A46C24">
        <w:t>)</w:t>
      </w:r>
      <w:r w:rsidR="001C0548">
        <w:t>.</w:t>
      </w:r>
    </w:p>
  </w:footnote>
  <w:footnote w:id="4">
    <w:p w14:paraId="1751D53B" w14:textId="77777777" w:rsidR="007F05ED" w:rsidRPr="00CC7EB0" w:rsidRDefault="007F05ED" w:rsidP="007F05ED">
      <w:pPr>
        <w:pStyle w:val="Voetnoottekst"/>
      </w:pPr>
      <w:r w:rsidRPr="000827E1">
        <w:rPr>
          <w:rStyle w:val="Voetnootmarkering"/>
        </w:rPr>
        <w:footnoteRef/>
      </w:r>
      <w:r w:rsidR="000827E1" w:rsidRPr="00CC7EB0">
        <w:tab/>
      </w:r>
      <w:r w:rsidR="00CC7EB0" w:rsidRPr="003B6BE6">
        <w:t xml:space="preserve">Commission Regulation (EU) 2018/213 of 12 February 2018 on the use of bisphenol A in varnishes and coatings intended to come into contact with food and amending Regulation (EU) No 10/2011 as regards the use of that substance in plastic food contact materials </w:t>
      </w:r>
      <w:r w:rsidR="00CC7EB0">
        <w:t>(</w:t>
      </w:r>
      <w:r w:rsidR="00453781" w:rsidRPr="00CC7EB0">
        <w:t>OJ L 41, 14.2.2018, p. 6</w:t>
      </w:r>
      <w:r w:rsidR="00281D04">
        <w:t xml:space="preserve">, </w:t>
      </w:r>
      <w:r w:rsidR="00281D04" w:rsidRPr="00FF3E17">
        <w:t xml:space="preserve">ELI: </w:t>
      </w:r>
      <w:hyperlink r:id="rId3" w:history="1">
        <w:r w:rsidR="0004466D" w:rsidRPr="00FE4638">
          <w:rPr>
            <w:rStyle w:val="Hyperlink"/>
          </w:rPr>
          <w:t>http://data.europa.eu/eli/reg/2018/213/oj</w:t>
        </w:r>
      </w:hyperlink>
      <w:r w:rsidR="00CC7EB0">
        <w:t>)</w:t>
      </w:r>
      <w:r w:rsidR="001C0548">
        <w:t>.</w:t>
      </w:r>
    </w:p>
  </w:footnote>
  <w:footnote w:id="5">
    <w:p w14:paraId="396DFECB" w14:textId="77777777" w:rsidR="00913F20" w:rsidRPr="007F2D33" w:rsidRDefault="00913F20">
      <w:pPr>
        <w:pStyle w:val="Voetnoottekst"/>
        <w:rPr>
          <w:lang w:val="en-IE"/>
        </w:rPr>
      </w:pPr>
      <w:r w:rsidRPr="000827E1">
        <w:rPr>
          <w:rStyle w:val="Voetnootmarkering"/>
        </w:rPr>
        <w:footnoteRef/>
      </w:r>
      <w:r w:rsidR="000827E1">
        <w:tab/>
      </w:r>
      <w:r w:rsidRPr="007F2D33">
        <w:rPr>
          <w:lang w:val="en-IE"/>
        </w:rPr>
        <w:t>The EFSA Journal 2015;13(1):3978.</w:t>
      </w:r>
    </w:p>
  </w:footnote>
  <w:footnote w:id="6">
    <w:p w14:paraId="4BD47ABA" w14:textId="77777777" w:rsidR="00453781" w:rsidRDefault="00453781">
      <w:pPr>
        <w:pStyle w:val="Voetnoottekst"/>
      </w:pPr>
      <w:r>
        <w:rPr>
          <w:rStyle w:val="Voetnootmarkering"/>
        </w:rPr>
        <w:footnoteRef/>
      </w:r>
      <w:r>
        <w:tab/>
      </w:r>
      <w:r w:rsidR="001C0548" w:rsidRPr="003207CA">
        <w:t>Commission Implementing Regulation (EU) No 321/2011 of 1 April 2011 amending Regulation (EU) No 10/2011 as regards the restriction of use of Bisphenol A in plastic infant feeding bottles</w:t>
      </w:r>
      <w:r w:rsidR="001C0548">
        <w:t xml:space="preserve"> (</w:t>
      </w:r>
      <w:r w:rsidR="001C0548" w:rsidRPr="00453781">
        <w:t>OJ L 87, 2.4.2011, p. 1</w:t>
      </w:r>
      <w:r w:rsidR="00281D04">
        <w:t xml:space="preserve">, </w:t>
      </w:r>
      <w:r w:rsidR="00281D04" w:rsidRPr="0072680C">
        <w:t xml:space="preserve">ELI: </w:t>
      </w:r>
      <w:hyperlink r:id="rId4" w:history="1">
        <w:r w:rsidR="003C0AC5" w:rsidRPr="00FE4638">
          <w:rPr>
            <w:rStyle w:val="Hyperlink"/>
          </w:rPr>
          <w:t>http://data.europa.eu/eli/reg_impl/2011/321/oj</w:t>
        </w:r>
      </w:hyperlink>
      <w:r w:rsidR="001C0548">
        <w:t>).</w:t>
      </w:r>
    </w:p>
  </w:footnote>
  <w:footnote w:id="7">
    <w:p w14:paraId="31750843" w14:textId="77777777" w:rsidR="009D255F" w:rsidRPr="00F3368A" w:rsidRDefault="009D255F">
      <w:pPr>
        <w:pStyle w:val="Voetnoottekst"/>
      </w:pPr>
      <w:r>
        <w:rPr>
          <w:rStyle w:val="Voetnootmarkering"/>
        </w:rPr>
        <w:footnoteRef/>
      </w:r>
      <w:r w:rsidRPr="00F3368A">
        <w:tab/>
      </w:r>
      <w:r w:rsidR="00281D04" w:rsidRPr="00F3368A">
        <w:t xml:space="preserve">The </w:t>
      </w:r>
      <w:r w:rsidRPr="00F3368A">
        <w:t>EFSA Journal 2023;21(4):6857</w:t>
      </w:r>
      <w:r w:rsidR="001C0548" w:rsidRPr="00F3368A">
        <w:t>.</w:t>
      </w:r>
    </w:p>
  </w:footnote>
  <w:footnote w:id="8">
    <w:p w14:paraId="71CAD23F" w14:textId="77777777" w:rsidR="003D1A8D" w:rsidRDefault="003D1A8D">
      <w:pPr>
        <w:pStyle w:val="Voetnoottekst"/>
      </w:pPr>
      <w:r>
        <w:rPr>
          <w:rStyle w:val="Voetnootmarkering"/>
        </w:rPr>
        <w:footnoteRef/>
      </w:r>
      <w:r>
        <w:tab/>
      </w:r>
      <w:r w:rsidRPr="003B6BE6">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w:t>
      </w:r>
      <w:r>
        <w:t xml:space="preserve">, </w:t>
      </w:r>
      <w:r w:rsidRPr="008A513B">
        <w:t xml:space="preserve">ELI: </w:t>
      </w:r>
      <w:hyperlink r:id="rId5" w:history="1">
        <w:r w:rsidRPr="00FE4638">
          <w:rPr>
            <w:rStyle w:val="Hyperlink"/>
          </w:rPr>
          <w:t>http://data.europa.eu/eli/reg/2008/1272/oj</w:t>
        </w:r>
      </w:hyperlink>
      <w:r w:rsidRPr="003B6BE6">
        <w:t>).</w:t>
      </w:r>
    </w:p>
  </w:footnote>
  <w:footnote w:id="9">
    <w:p w14:paraId="0CF0A7E9" w14:textId="77777777" w:rsidR="00872BF4" w:rsidRDefault="00872BF4">
      <w:pPr>
        <w:pStyle w:val="Voetnoottekst"/>
      </w:pPr>
      <w:r>
        <w:rPr>
          <w:rStyle w:val="Voetnootmarkering"/>
        </w:rPr>
        <w:footnoteRef/>
      </w:r>
      <w:r>
        <w:tab/>
        <w:t>The EFSA Supporting Publications</w:t>
      </w:r>
      <w:r w:rsidRPr="00F3368A">
        <w:t xml:space="preserve"> 202</w:t>
      </w:r>
      <w:r>
        <w:t>0</w:t>
      </w:r>
      <w:r w:rsidRPr="00F3368A">
        <w:t>;</w:t>
      </w:r>
      <w:r>
        <w:t>17</w:t>
      </w:r>
      <w:r w:rsidRPr="00F3368A">
        <w:t>(4):</w:t>
      </w:r>
      <w:r>
        <w:t>1844</w:t>
      </w:r>
    </w:p>
  </w:footnote>
  <w:footnote w:id="10">
    <w:p w14:paraId="07665437" w14:textId="77777777" w:rsidR="000E0557" w:rsidRDefault="000E0557">
      <w:pPr>
        <w:pStyle w:val="Voetnoottekst"/>
      </w:pPr>
      <w:r w:rsidRPr="00DB479A">
        <w:rPr>
          <w:rStyle w:val="Voetnootmarkering"/>
        </w:rPr>
        <w:footnoteRef/>
      </w:r>
      <w:r w:rsidR="00DB479A">
        <w:tab/>
      </w:r>
      <w:r w:rsidRPr="000E0557">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t xml:space="preserve"> (</w:t>
      </w:r>
      <w:r w:rsidRPr="003B6BE6">
        <w:t>OJ L 3</w:t>
      </w:r>
      <w:r>
        <w:t>96</w:t>
      </w:r>
      <w:r w:rsidRPr="003B6BE6">
        <w:t>, 3</w:t>
      </w:r>
      <w:r>
        <w:t>0</w:t>
      </w:r>
      <w:r w:rsidRPr="003B6BE6">
        <w:t>.12.200</w:t>
      </w:r>
      <w:r>
        <w:t>6</w:t>
      </w:r>
      <w:r w:rsidRPr="003B6BE6">
        <w:t>, p. 1</w:t>
      </w:r>
      <w:r>
        <w:t xml:space="preserve">, </w:t>
      </w:r>
      <w:r w:rsidRPr="000E0557">
        <w:t xml:space="preserve">ELI: </w:t>
      </w:r>
      <w:hyperlink r:id="rId6" w:history="1">
        <w:r w:rsidR="003C0AC5" w:rsidRPr="00FE4638">
          <w:rPr>
            <w:rStyle w:val="Hyperlink"/>
          </w:rPr>
          <w:t>http://data.europa.eu/eli/reg/2006/1907/oj</w:t>
        </w:r>
      </w:hyperlink>
      <w:r>
        <w:t>).</w:t>
      </w:r>
    </w:p>
  </w:footnote>
  <w:footnote w:id="11">
    <w:p w14:paraId="7BB968CA" w14:textId="77777777" w:rsidR="000E0557" w:rsidRDefault="000E0557">
      <w:pPr>
        <w:pStyle w:val="Voetnoottekst"/>
      </w:pPr>
      <w:r w:rsidRPr="00DB479A">
        <w:rPr>
          <w:rStyle w:val="Voetnootmarkering"/>
        </w:rPr>
        <w:footnoteRef/>
      </w:r>
      <w:r w:rsidR="00DB479A">
        <w:tab/>
      </w:r>
      <w:r>
        <w:t xml:space="preserve">Commission Delegated Regulation (EU) 2023/707 of 19 December 2022 </w:t>
      </w:r>
      <w:r w:rsidRPr="000E0557">
        <w:t>amending Regulation (EC) No 1272/2008 as regards hazard classes and criteria for the classification, labelling and packaging of substances and mixtures</w:t>
      </w:r>
      <w:r>
        <w:t xml:space="preserve"> (OJ L 93, 31.3.2022, p. 7, ELI: </w:t>
      </w:r>
      <w:hyperlink r:id="rId7" w:history="1">
        <w:r w:rsidR="004E4845" w:rsidRPr="00FE4638">
          <w:rPr>
            <w:rStyle w:val="Hyperlink"/>
          </w:rPr>
          <w:t>http://data.europa.eu/eli/reg_del/2023/707/oj</w:t>
        </w:r>
      </w:hyperlink>
      <w:r>
        <w:t>).</w:t>
      </w:r>
    </w:p>
  </w:footnote>
  <w:footnote w:id="12">
    <w:p w14:paraId="12F61109" w14:textId="77777777" w:rsidR="00CD7DC9" w:rsidRDefault="00CD7DC9" w:rsidP="004372B7">
      <w:pPr>
        <w:pStyle w:val="Voetnoottekst"/>
      </w:pPr>
      <w:r>
        <w:rPr>
          <w:rStyle w:val="Voetnootmarkering"/>
        </w:rPr>
        <w:footnoteRef/>
      </w:r>
      <w:r w:rsidR="004372B7">
        <w:tab/>
      </w:r>
      <w:r>
        <w:t>Commission Recommendation of 6 May 2003 concerning the definition of micro, small and medium-sized enterprises (OJ L 124, 20.5.2003, p. 36</w:t>
      </w:r>
      <w:r w:rsidR="00F023EA">
        <w:t>,</w:t>
      </w:r>
      <w:r>
        <w:t xml:space="preserve"> ELI: </w:t>
      </w:r>
      <w:hyperlink r:id="rId8" w:history="1">
        <w:r w:rsidRPr="001F6B29">
          <w:rPr>
            <w:rStyle w:val="Hyperlink"/>
          </w:rPr>
          <w:t>http://data.europa.eu/eli/reco/2003/361/oj</w:t>
        </w:r>
      </w:hyperlink>
      <w:r>
        <w:t xml:space="preserve">). </w:t>
      </w:r>
    </w:p>
  </w:footnote>
  <w:footnote w:id="13">
    <w:p w14:paraId="04F83F4B" w14:textId="77777777" w:rsidR="00BF4B15" w:rsidRDefault="00BF4B15" w:rsidP="00664580">
      <w:pPr>
        <w:pStyle w:val="Voetnoottekst"/>
      </w:pPr>
      <w:r>
        <w:rPr>
          <w:rStyle w:val="Voetnootmarkering"/>
        </w:rPr>
        <w:footnoteRef/>
      </w:r>
      <w:r>
        <w:tab/>
      </w:r>
      <w:r w:rsidRPr="001A1907">
        <w:t>Regulation (EU) 2017/625 of the European Parliament and of the Council of 15 March 2017 on official controls and other official activities performed to ensure the application of food and feed law, rules on animal health and welfare, plant health and plant protection products</w:t>
      </w:r>
      <w:r>
        <w:t xml:space="preserve"> (</w:t>
      </w:r>
      <w:r w:rsidRPr="001A1907">
        <w:t>OJ L 95, 7.4.2017, p. 1</w:t>
      </w:r>
      <w:r w:rsidR="00F023EA">
        <w:t>,</w:t>
      </w:r>
      <w:r>
        <w:t xml:space="preserve"> ELI: </w:t>
      </w:r>
      <w:hyperlink r:id="rId9" w:history="1">
        <w:r w:rsidRPr="001F6B29">
          <w:rPr>
            <w:rStyle w:val="Hyperlink"/>
          </w:rPr>
          <w:t>http://data.europa.eu/eli/reg/2017/625/oj</w:t>
        </w:r>
      </w:hyperlink>
      <w:r>
        <w:t xml:space="preserve">). </w:t>
      </w:r>
    </w:p>
  </w:footnote>
  <w:footnote w:id="14">
    <w:p w14:paraId="303782C0" w14:textId="77777777" w:rsidR="009C3179" w:rsidRDefault="009C3179">
      <w:pPr>
        <w:pStyle w:val="Voetnoottekst"/>
      </w:pPr>
      <w:r>
        <w:rPr>
          <w:rStyle w:val="Voetnootmarkering"/>
        </w:rPr>
        <w:footnoteRef/>
      </w:r>
      <w:r>
        <w:tab/>
      </w:r>
      <w:r w:rsidRPr="009C3179">
        <w:t>Council Directive 2001/112/EC of 20 December 2001 relating to fruit juices and certain similar products intended for human consumption</w:t>
      </w:r>
      <w:r>
        <w:t xml:space="preserve"> (OJ L </w:t>
      </w:r>
      <w:r w:rsidRPr="009C3179">
        <w:t>10, 12.1.2002, p. 58</w:t>
      </w:r>
      <w:r w:rsidR="00F023EA">
        <w:t>,</w:t>
      </w:r>
      <w:r>
        <w:t xml:space="preserve"> ELI: </w:t>
      </w:r>
      <w:hyperlink r:id="rId10" w:history="1">
        <w:r w:rsidRPr="0065559D">
          <w:rPr>
            <w:rStyle w:val="Hyperlink"/>
          </w:rPr>
          <w:t>http://data.europa.eu/eli/dir/2001/112/oj</w:t>
        </w:r>
      </w:hyperlink>
      <w:r>
        <w:t xml:space="preserve">). </w:t>
      </w:r>
    </w:p>
  </w:footnote>
  <w:footnote w:id="15">
    <w:p w14:paraId="5C9FC355" w14:textId="77777777" w:rsidR="00627F25" w:rsidRDefault="00627F25">
      <w:pPr>
        <w:pStyle w:val="Voetnoottekst"/>
      </w:pPr>
      <w:r>
        <w:rPr>
          <w:rStyle w:val="Voetnootmarkering"/>
        </w:rPr>
        <w:footnoteRef/>
      </w:r>
      <w:r>
        <w:tab/>
        <w:t>Regulation (EC) No 853/2004 of the European Parliament and of the Council of 29 April 2004 laying down specific hygiene rules for food of animal origin (OJ L 139, 30.04.2004, p. 55</w:t>
      </w:r>
      <w:r w:rsidR="00F023EA">
        <w:t>,</w:t>
      </w:r>
      <w:r>
        <w:t xml:space="preserve"> ELI: </w:t>
      </w:r>
      <w:hyperlink r:id="rId11" w:history="1">
        <w:r w:rsidRPr="00423418">
          <w:rPr>
            <w:rStyle w:val="Hyperlink"/>
          </w:rPr>
          <w:t>http://data.europa.eu/eli/reg/2004/853/oj</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0814" w14:textId="77777777" w:rsidR="0063142A" w:rsidRPr="002C0542" w:rsidRDefault="0063142A" w:rsidP="002C05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4A33" w14:textId="77777777" w:rsidR="0063142A" w:rsidRPr="002C0542" w:rsidRDefault="0063142A" w:rsidP="002C05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67E4F" w14:textId="77777777" w:rsidR="0063142A" w:rsidRPr="002C0542" w:rsidRDefault="0063142A" w:rsidP="002C05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3AC99EC"/>
    <w:lvl w:ilvl="0">
      <w:start w:val="1"/>
      <w:numFmt w:val="bullet"/>
      <w:pStyle w:val="Lijstopsomtek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AB01526"/>
    <w:lvl w:ilvl="0">
      <w:start w:val="1"/>
      <w:numFmt w:val="bullet"/>
      <w:pStyle w:val="Lijstopsomtek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994D10A"/>
    <w:lvl w:ilvl="0">
      <w:start w:val="1"/>
      <w:numFmt w:val="bullet"/>
      <w:pStyle w:val="Lijstopsomtek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8D66422"/>
    <w:lvl w:ilvl="0">
      <w:start w:val="1"/>
      <w:numFmt w:val="bullet"/>
      <w:pStyle w:val="Lijstopsomteken"/>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Kop1"/>
      <w:lvlText w:val="%1."/>
      <w:lvlJc w:val="left"/>
      <w:pPr>
        <w:tabs>
          <w:tab w:val="num" w:pos="850"/>
        </w:tabs>
        <w:ind w:left="850" w:hanging="850"/>
      </w:pPr>
    </w:lvl>
    <w:lvl w:ilvl="1">
      <w:start w:val="1"/>
      <w:numFmt w:val="decimal"/>
      <w:pStyle w:val="Kop2"/>
      <w:lvlText w:val="%1.%2."/>
      <w:lvlJc w:val="left"/>
      <w:pPr>
        <w:tabs>
          <w:tab w:val="num" w:pos="850"/>
        </w:tabs>
        <w:ind w:left="850" w:hanging="850"/>
      </w:pPr>
    </w:lvl>
    <w:lvl w:ilvl="2">
      <w:start w:val="1"/>
      <w:numFmt w:val="decimal"/>
      <w:pStyle w:val="Kop3"/>
      <w:lvlText w:val="%1.%2.%3."/>
      <w:lvlJc w:val="left"/>
      <w:pPr>
        <w:tabs>
          <w:tab w:val="num" w:pos="850"/>
        </w:tabs>
        <w:ind w:left="850" w:hanging="850"/>
      </w:pPr>
    </w:lvl>
    <w:lvl w:ilvl="3">
      <w:start w:val="1"/>
      <w:numFmt w:val="decimal"/>
      <w:pStyle w:val="Kop4"/>
      <w:lvlText w:val="%1.%2.%3.%4."/>
      <w:lvlJc w:val="left"/>
      <w:pPr>
        <w:tabs>
          <w:tab w:val="num" w:pos="850"/>
        </w:tabs>
        <w:ind w:left="850" w:hanging="850"/>
      </w:pPr>
    </w:lvl>
    <w:lvl w:ilvl="4">
      <w:start w:val="1"/>
      <w:numFmt w:val="decimal"/>
      <w:pStyle w:val="Kop5"/>
      <w:lvlText w:val="%1.%2.%3.%4.%5."/>
      <w:lvlJc w:val="left"/>
      <w:pPr>
        <w:tabs>
          <w:tab w:val="num" w:pos="1417"/>
        </w:tabs>
        <w:ind w:left="1417" w:hanging="1417"/>
      </w:pPr>
    </w:lvl>
    <w:lvl w:ilvl="5">
      <w:start w:val="1"/>
      <w:numFmt w:val="decimal"/>
      <w:pStyle w:val="Kop6"/>
      <w:lvlText w:val="%1.%2.%3.%4.%5.%6."/>
      <w:lvlJc w:val="left"/>
      <w:pPr>
        <w:tabs>
          <w:tab w:val="num" w:pos="1417"/>
        </w:tabs>
        <w:ind w:left="1417" w:hanging="1417"/>
      </w:pPr>
    </w:lvl>
    <w:lvl w:ilvl="6">
      <w:start w:val="1"/>
      <w:numFmt w:val="decimal"/>
      <w:pStyle w:val="Kop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43454862">
    <w:abstractNumId w:val="3"/>
  </w:num>
  <w:num w:numId="2" w16cid:durableId="1306664210">
    <w:abstractNumId w:val="2"/>
  </w:num>
  <w:num w:numId="3" w16cid:durableId="1383627951">
    <w:abstractNumId w:val="1"/>
  </w:num>
  <w:num w:numId="4" w16cid:durableId="1760711016">
    <w:abstractNumId w:val="0"/>
  </w:num>
  <w:num w:numId="5" w16cid:durableId="908657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5435321">
    <w:abstractNumId w:val="5"/>
  </w:num>
  <w:num w:numId="7" w16cid:durableId="4941550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6138969">
    <w:abstractNumId w:val="18"/>
    <w:lvlOverride w:ilvl="0">
      <w:startOverride w:val="1"/>
    </w:lvlOverride>
  </w:num>
  <w:num w:numId="9" w16cid:durableId="7930159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3136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91385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791044">
    <w:abstractNumId w:val="4"/>
  </w:num>
  <w:num w:numId="13" w16cid:durableId="2094812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1753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86700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9032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6632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73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53156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2087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8431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645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36075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9769990">
    <w:abstractNumId w:val="15"/>
  </w:num>
  <w:num w:numId="25" w16cid:durableId="900100600">
    <w:abstractNumId w:val="8"/>
  </w:num>
  <w:num w:numId="26" w16cid:durableId="1695424929">
    <w:abstractNumId w:val="17"/>
  </w:num>
  <w:num w:numId="27" w16cid:durableId="1705329665">
    <w:abstractNumId w:val="7"/>
  </w:num>
  <w:num w:numId="28" w16cid:durableId="2142528536">
    <w:abstractNumId w:val="9"/>
  </w:num>
  <w:num w:numId="29" w16cid:durableId="260069622">
    <w:abstractNumId w:val="10"/>
  </w:num>
  <w:num w:numId="30" w16cid:durableId="1478646311">
    <w:abstractNumId w:val="5"/>
  </w:num>
  <w:num w:numId="31" w16cid:durableId="936139288">
    <w:abstractNumId w:val="16"/>
  </w:num>
  <w:num w:numId="32" w16cid:durableId="1793597997">
    <w:abstractNumId w:val="4"/>
  </w:num>
  <w:num w:numId="33" w16cid:durableId="1243486740">
    <w:abstractNumId w:val="11"/>
  </w:num>
  <w:num w:numId="34" w16cid:durableId="469134946">
    <w:abstractNumId w:val="13"/>
  </w:num>
  <w:num w:numId="35" w16cid:durableId="749929730">
    <w:abstractNumId w:val="14"/>
  </w:num>
  <w:num w:numId="36" w16cid:durableId="926033763">
    <w:abstractNumId w:val="6"/>
  </w:num>
  <w:num w:numId="37" w16cid:durableId="1115444170">
    <w:abstractNumId w:val="12"/>
  </w:num>
  <w:num w:numId="38" w16cid:durableId="260600917">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_RefLast" w:val="0"/>
    <w:docVar w:name="DQCDateTime" w:val="2024-06-12 14:55:2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1149510-E17F-4DF3-AC11-1566263A8787"/>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1"/>
    <w:docVar w:name="LW_ID_DOCSIGNATURE" w:val="SJ-001"/>
    <w:docVar w:name="LW_ID_DOCSTRUCTURE" w:val="COM/AA"/>
    <w:docVar w:name="LW_ID_DOCTYPE" w:val="SJ-001"/>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4) XXX"/>
    <w:docVar w:name="LW_REF.INTERNE" w:val="PLAN/2023/1013  (POOL/E2/2023/1013/1013-EN.docx)    D097818/02"/>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use of bisphenol A (BPA) and other bisphenols and bisphenol derivatives with harmonised classification for specific hazardous properties in certain materials and articles intended to come into contact with food, amending Regulation (EU) No 10/2011 and repealing Regulation (EU) 2018/213"/>
    <w:docVar w:name="LW_TYPE.DOC.CP" w:val="COMMISSION REGULATION (EU) \u8230?/\u8230?"/>
  </w:docVars>
  <w:rsids>
    <w:rsidRoot w:val="00EE1FB3"/>
    <w:rsid w:val="000006D3"/>
    <w:rsid w:val="00002013"/>
    <w:rsid w:val="00002EC9"/>
    <w:rsid w:val="0000403B"/>
    <w:rsid w:val="00006899"/>
    <w:rsid w:val="00011F10"/>
    <w:rsid w:val="00012B96"/>
    <w:rsid w:val="00013559"/>
    <w:rsid w:val="000164C9"/>
    <w:rsid w:val="000177D3"/>
    <w:rsid w:val="00020091"/>
    <w:rsid w:val="000259A6"/>
    <w:rsid w:val="00027012"/>
    <w:rsid w:val="0003425E"/>
    <w:rsid w:val="00034B9C"/>
    <w:rsid w:val="00041E5C"/>
    <w:rsid w:val="00042E9B"/>
    <w:rsid w:val="0004466D"/>
    <w:rsid w:val="0004693B"/>
    <w:rsid w:val="000478E4"/>
    <w:rsid w:val="00050D51"/>
    <w:rsid w:val="000518E0"/>
    <w:rsid w:val="00051F69"/>
    <w:rsid w:val="00053C32"/>
    <w:rsid w:val="000549B3"/>
    <w:rsid w:val="00054B93"/>
    <w:rsid w:val="000552DE"/>
    <w:rsid w:val="000579BE"/>
    <w:rsid w:val="00060027"/>
    <w:rsid w:val="00063B5C"/>
    <w:rsid w:val="00064232"/>
    <w:rsid w:val="0007037E"/>
    <w:rsid w:val="000728DB"/>
    <w:rsid w:val="00073CE6"/>
    <w:rsid w:val="0007491B"/>
    <w:rsid w:val="00074C8E"/>
    <w:rsid w:val="00075BC1"/>
    <w:rsid w:val="00075E8E"/>
    <w:rsid w:val="00076546"/>
    <w:rsid w:val="000775F1"/>
    <w:rsid w:val="0008090D"/>
    <w:rsid w:val="00081974"/>
    <w:rsid w:val="000827E1"/>
    <w:rsid w:val="000836CC"/>
    <w:rsid w:val="000843EE"/>
    <w:rsid w:val="000844E5"/>
    <w:rsid w:val="000854EC"/>
    <w:rsid w:val="00086A5C"/>
    <w:rsid w:val="00087B05"/>
    <w:rsid w:val="000902E7"/>
    <w:rsid w:val="00090D15"/>
    <w:rsid w:val="00090D7E"/>
    <w:rsid w:val="00091007"/>
    <w:rsid w:val="00092253"/>
    <w:rsid w:val="00092621"/>
    <w:rsid w:val="00093FBC"/>
    <w:rsid w:val="00094E1C"/>
    <w:rsid w:val="0009717A"/>
    <w:rsid w:val="000A136D"/>
    <w:rsid w:val="000A1F5D"/>
    <w:rsid w:val="000A2FCF"/>
    <w:rsid w:val="000A58F0"/>
    <w:rsid w:val="000B13A7"/>
    <w:rsid w:val="000B21D7"/>
    <w:rsid w:val="000B4A61"/>
    <w:rsid w:val="000B4ACD"/>
    <w:rsid w:val="000B6F83"/>
    <w:rsid w:val="000B7100"/>
    <w:rsid w:val="000B7302"/>
    <w:rsid w:val="000B760C"/>
    <w:rsid w:val="000C0D58"/>
    <w:rsid w:val="000C4121"/>
    <w:rsid w:val="000C4965"/>
    <w:rsid w:val="000C5B85"/>
    <w:rsid w:val="000C5DA7"/>
    <w:rsid w:val="000C7883"/>
    <w:rsid w:val="000D29FC"/>
    <w:rsid w:val="000D3676"/>
    <w:rsid w:val="000D5959"/>
    <w:rsid w:val="000D62DE"/>
    <w:rsid w:val="000E0557"/>
    <w:rsid w:val="000E3FC6"/>
    <w:rsid w:val="000F0C62"/>
    <w:rsid w:val="000F1F7A"/>
    <w:rsid w:val="000F2870"/>
    <w:rsid w:val="000F54AB"/>
    <w:rsid w:val="000F61E4"/>
    <w:rsid w:val="000F6F6C"/>
    <w:rsid w:val="000F6FB1"/>
    <w:rsid w:val="0010091B"/>
    <w:rsid w:val="00102422"/>
    <w:rsid w:val="00103EF1"/>
    <w:rsid w:val="00105A2D"/>
    <w:rsid w:val="001065F5"/>
    <w:rsid w:val="00111930"/>
    <w:rsid w:val="0011233F"/>
    <w:rsid w:val="00112634"/>
    <w:rsid w:val="001142C6"/>
    <w:rsid w:val="00114CBA"/>
    <w:rsid w:val="00120215"/>
    <w:rsid w:val="00121992"/>
    <w:rsid w:val="001219F5"/>
    <w:rsid w:val="001223F2"/>
    <w:rsid w:val="00122625"/>
    <w:rsid w:val="00122DF0"/>
    <w:rsid w:val="001238EF"/>
    <w:rsid w:val="00130A4D"/>
    <w:rsid w:val="00131524"/>
    <w:rsid w:val="00133CCB"/>
    <w:rsid w:val="001364DF"/>
    <w:rsid w:val="001374BF"/>
    <w:rsid w:val="00140534"/>
    <w:rsid w:val="00141123"/>
    <w:rsid w:val="0014204A"/>
    <w:rsid w:val="00142744"/>
    <w:rsid w:val="001429EA"/>
    <w:rsid w:val="00143205"/>
    <w:rsid w:val="0014522B"/>
    <w:rsid w:val="00147E80"/>
    <w:rsid w:val="00151BD5"/>
    <w:rsid w:val="001521ED"/>
    <w:rsid w:val="0015751A"/>
    <w:rsid w:val="00157AC4"/>
    <w:rsid w:val="00163B9F"/>
    <w:rsid w:val="001662C3"/>
    <w:rsid w:val="00166EF0"/>
    <w:rsid w:val="001708B2"/>
    <w:rsid w:val="00171A87"/>
    <w:rsid w:val="00171C4C"/>
    <w:rsid w:val="00171FAE"/>
    <w:rsid w:val="00173C2A"/>
    <w:rsid w:val="0017540B"/>
    <w:rsid w:val="00175B52"/>
    <w:rsid w:val="00180390"/>
    <w:rsid w:val="001804E3"/>
    <w:rsid w:val="00180BCF"/>
    <w:rsid w:val="0018179C"/>
    <w:rsid w:val="00182BB3"/>
    <w:rsid w:val="00184C1E"/>
    <w:rsid w:val="0019225B"/>
    <w:rsid w:val="00193B20"/>
    <w:rsid w:val="001948B5"/>
    <w:rsid w:val="001967A5"/>
    <w:rsid w:val="00196EBB"/>
    <w:rsid w:val="00197613"/>
    <w:rsid w:val="001A0886"/>
    <w:rsid w:val="001A1907"/>
    <w:rsid w:val="001A1C0C"/>
    <w:rsid w:val="001A1C7A"/>
    <w:rsid w:val="001A29AE"/>
    <w:rsid w:val="001B0278"/>
    <w:rsid w:val="001B0709"/>
    <w:rsid w:val="001B1FDD"/>
    <w:rsid w:val="001B2EBB"/>
    <w:rsid w:val="001B39D0"/>
    <w:rsid w:val="001B48A1"/>
    <w:rsid w:val="001B6D0F"/>
    <w:rsid w:val="001B7B3C"/>
    <w:rsid w:val="001C0548"/>
    <w:rsid w:val="001C080C"/>
    <w:rsid w:val="001C1556"/>
    <w:rsid w:val="001C5048"/>
    <w:rsid w:val="001C622D"/>
    <w:rsid w:val="001D686A"/>
    <w:rsid w:val="001D76A7"/>
    <w:rsid w:val="001D7EB9"/>
    <w:rsid w:val="001E02A2"/>
    <w:rsid w:val="001E1AEB"/>
    <w:rsid w:val="001E1E00"/>
    <w:rsid w:val="001E2F1C"/>
    <w:rsid w:val="001E465E"/>
    <w:rsid w:val="001E61F9"/>
    <w:rsid w:val="001F2716"/>
    <w:rsid w:val="001F53E7"/>
    <w:rsid w:val="001F6260"/>
    <w:rsid w:val="00200980"/>
    <w:rsid w:val="00202879"/>
    <w:rsid w:val="00203C4C"/>
    <w:rsid w:val="00204744"/>
    <w:rsid w:val="00204C8B"/>
    <w:rsid w:val="002065B1"/>
    <w:rsid w:val="0021029C"/>
    <w:rsid w:val="002113C9"/>
    <w:rsid w:val="00212DCA"/>
    <w:rsid w:val="00213406"/>
    <w:rsid w:val="00214F4F"/>
    <w:rsid w:val="002164CD"/>
    <w:rsid w:val="00217623"/>
    <w:rsid w:val="00217BFD"/>
    <w:rsid w:val="00221B2C"/>
    <w:rsid w:val="0022228A"/>
    <w:rsid w:val="00222B76"/>
    <w:rsid w:val="00223289"/>
    <w:rsid w:val="0022436C"/>
    <w:rsid w:val="00226FED"/>
    <w:rsid w:val="00232F1D"/>
    <w:rsid w:val="00233DC7"/>
    <w:rsid w:val="00234AA6"/>
    <w:rsid w:val="00234D4A"/>
    <w:rsid w:val="00235D7E"/>
    <w:rsid w:val="00236417"/>
    <w:rsid w:val="00237488"/>
    <w:rsid w:val="00237646"/>
    <w:rsid w:val="00237A8D"/>
    <w:rsid w:val="00237B14"/>
    <w:rsid w:val="00240847"/>
    <w:rsid w:val="00240B9F"/>
    <w:rsid w:val="00240BC7"/>
    <w:rsid w:val="00243111"/>
    <w:rsid w:val="00243BAD"/>
    <w:rsid w:val="00243D1C"/>
    <w:rsid w:val="002453EF"/>
    <w:rsid w:val="0024599D"/>
    <w:rsid w:val="00246849"/>
    <w:rsid w:val="0024709B"/>
    <w:rsid w:val="0024772D"/>
    <w:rsid w:val="00247779"/>
    <w:rsid w:val="00250BB2"/>
    <w:rsid w:val="002531F5"/>
    <w:rsid w:val="002533B5"/>
    <w:rsid w:val="00255487"/>
    <w:rsid w:val="00257AD4"/>
    <w:rsid w:val="0026137C"/>
    <w:rsid w:val="0026230F"/>
    <w:rsid w:val="00263F34"/>
    <w:rsid w:val="002648BC"/>
    <w:rsid w:val="002678E7"/>
    <w:rsid w:val="00271A57"/>
    <w:rsid w:val="00271D75"/>
    <w:rsid w:val="00274AEE"/>
    <w:rsid w:val="002750B4"/>
    <w:rsid w:val="002766B9"/>
    <w:rsid w:val="00276BB6"/>
    <w:rsid w:val="00280758"/>
    <w:rsid w:val="0028141F"/>
    <w:rsid w:val="00281D04"/>
    <w:rsid w:val="00281D7D"/>
    <w:rsid w:val="00281D82"/>
    <w:rsid w:val="00284BAD"/>
    <w:rsid w:val="00285BEE"/>
    <w:rsid w:val="00285F89"/>
    <w:rsid w:val="002870B2"/>
    <w:rsid w:val="0029081B"/>
    <w:rsid w:val="0029131F"/>
    <w:rsid w:val="00292287"/>
    <w:rsid w:val="002930B2"/>
    <w:rsid w:val="00294391"/>
    <w:rsid w:val="0029533F"/>
    <w:rsid w:val="00296886"/>
    <w:rsid w:val="002A1163"/>
    <w:rsid w:val="002A1739"/>
    <w:rsid w:val="002A5356"/>
    <w:rsid w:val="002A654B"/>
    <w:rsid w:val="002A6932"/>
    <w:rsid w:val="002A7AD8"/>
    <w:rsid w:val="002B13A4"/>
    <w:rsid w:val="002B1CB5"/>
    <w:rsid w:val="002B284A"/>
    <w:rsid w:val="002B30AF"/>
    <w:rsid w:val="002B3194"/>
    <w:rsid w:val="002B3BD6"/>
    <w:rsid w:val="002B42B3"/>
    <w:rsid w:val="002C0542"/>
    <w:rsid w:val="002C1713"/>
    <w:rsid w:val="002C2A73"/>
    <w:rsid w:val="002C2D53"/>
    <w:rsid w:val="002D1936"/>
    <w:rsid w:val="002D4EF8"/>
    <w:rsid w:val="002D54C0"/>
    <w:rsid w:val="002D5AC9"/>
    <w:rsid w:val="002D65C5"/>
    <w:rsid w:val="002D67F6"/>
    <w:rsid w:val="002D6A0C"/>
    <w:rsid w:val="002D7AA2"/>
    <w:rsid w:val="002D7ADE"/>
    <w:rsid w:val="002E0834"/>
    <w:rsid w:val="002E17CB"/>
    <w:rsid w:val="002E186E"/>
    <w:rsid w:val="002E18A3"/>
    <w:rsid w:val="002E1F80"/>
    <w:rsid w:val="002E3EE7"/>
    <w:rsid w:val="002E481F"/>
    <w:rsid w:val="002E4F0A"/>
    <w:rsid w:val="002E53A2"/>
    <w:rsid w:val="002E7408"/>
    <w:rsid w:val="002F2B42"/>
    <w:rsid w:val="002F627B"/>
    <w:rsid w:val="0030062F"/>
    <w:rsid w:val="00300804"/>
    <w:rsid w:val="00305F8F"/>
    <w:rsid w:val="00307B74"/>
    <w:rsid w:val="0031297F"/>
    <w:rsid w:val="00312A9E"/>
    <w:rsid w:val="00324D6C"/>
    <w:rsid w:val="0032729A"/>
    <w:rsid w:val="00327AEE"/>
    <w:rsid w:val="00330EDE"/>
    <w:rsid w:val="0033344A"/>
    <w:rsid w:val="003334B4"/>
    <w:rsid w:val="00335175"/>
    <w:rsid w:val="00337526"/>
    <w:rsid w:val="0034108C"/>
    <w:rsid w:val="00341777"/>
    <w:rsid w:val="0034180B"/>
    <w:rsid w:val="00341EAB"/>
    <w:rsid w:val="0034212A"/>
    <w:rsid w:val="00342AEC"/>
    <w:rsid w:val="003433E0"/>
    <w:rsid w:val="00346873"/>
    <w:rsid w:val="00347E67"/>
    <w:rsid w:val="00347FAC"/>
    <w:rsid w:val="00351252"/>
    <w:rsid w:val="00354328"/>
    <w:rsid w:val="00354B4B"/>
    <w:rsid w:val="00355833"/>
    <w:rsid w:val="00355895"/>
    <w:rsid w:val="00355CAB"/>
    <w:rsid w:val="003604DB"/>
    <w:rsid w:val="00360BD0"/>
    <w:rsid w:val="00361A2B"/>
    <w:rsid w:val="00365F6E"/>
    <w:rsid w:val="003709C9"/>
    <w:rsid w:val="0037158C"/>
    <w:rsid w:val="00371F99"/>
    <w:rsid w:val="00374B29"/>
    <w:rsid w:val="00374E6E"/>
    <w:rsid w:val="0037549B"/>
    <w:rsid w:val="0038243D"/>
    <w:rsid w:val="00383857"/>
    <w:rsid w:val="003855ED"/>
    <w:rsid w:val="0038739C"/>
    <w:rsid w:val="00387C54"/>
    <w:rsid w:val="00390189"/>
    <w:rsid w:val="00390466"/>
    <w:rsid w:val="003A03A1"/>
    <w:rsid w:val="003A073F"/>
    <w:rsid w:val="003A169E"/>
    <w:rsid w:val="003A186C"/>
    <w:rsid w:val="003A1F0C"/>
    <w:rsid w:val="003A31DE"/>
    <w:rsid w:val="003A4411"/>
    <w:rsid w:val="003A4A52"/>
    <w:rsid w:val="003A52F2"/>
    <w:rsid w:val="003A58A9"/>
    <w:rsid w:val="003A623A"/>
    <w:rsid w:val="003A66F0"/>
    <w:rsid w:val="003A686A"/>
    <w:rsid w:val="003A6A5A"/>
    <w:rsid w:val="003A706A"/>
    <w:rsid w:val="003B0E4B"/>
    <w:rsid w:val="003B1392"/>
    <w:rsid w:val="003B1CFC"/>
    <w:rsid w:val="003B3F24"/>
    <w:rsid w:val="003B4EE5"/>
    <w:rsid w:val="003B650B"/>
    <w:rsid w:val="003B6B3D"/>
    <w:rsid w:val="003C0AC5"/>
    <w:rsid w:val="003C0D98"/>
    <w:rsid w:val="003C1064"/>
    <w:rsid w:val="003C17C7"/>
    <w:rsid w:val="003C2DE3"/>
    <w:rsid w:val="003C47A5"/>
    <w:rsid w:val="003C4A7A"/>
    <w:rsid w:val="003C5A51"/>
    <w:rsid w:val="003C7F43"/>
    <w:rsid w:val="003D0EC7"/>
    <w:rsid w:val="003D1A8D"/>
    <w:rsid w:val="003D2676"/>
    <w:rsid w:val="003D455A"/>
    <w:rsid w:val="003D6646"/>
    <w:rsid w:val="003D7853"/>
    <w:rsid w:val="003E1124"/>
    <w:rsid w:val="003E14B0"/>
    <w:rsid w:val="003E3E7A"/>
    <w:rsid w:val="003F0EC5"/>
    <w:rsid w:val="003F63A7"/>
    <w:rsid w:val="003F64E8"/>
    <w:rsid w:val="00400A96"/>
    <w:rsid w:val="004015D3"/>
    <w:rsid w:val="00403EA7"/>
    <w:rsid w:val="00405F2C"/>
    <w:rsid w:val="00406414"/>
    <w:rsid w:val="004075AB"/>
    <w:rsid w:val="00410118"/>
    <w:rsid w:val="0041061A"/>
    <w:rsid w:val="00412774"/>
    <w:rsid w:val="0041280E"/>
    <w:rsid w:val="00413B96"/>
    <w:rsid w:val="00416613"/>
    <w:rsid w:val="004170D9"/>
    <w:rsid w:val="00417CD9"/>
    <w:rsid w:val="00420AA5"/>
    <w:rsid w:val="004216C3"/>
    <w:rsid w:val="0042238D"/>
    <w:rsid w:val="004226D7"/>
    <w:rsid w:val="004241BA"/>
    <w:rsid w:val="00425915"/>
    <w:rsid w:val="00425C9D"/>
    <w:rsid w:val="0042648E"/>
    <w:rsid w:val="0043086D"/>
    <w:rsid w:val="00431373"/>
    <w:rsid w:val="00432F22"/>
    <w:rsid w:val="00433E57"/>
    <w:rsid w:val="00433F4D"/>
    <w:rsid w:val="00434086"/>
    <w:rsid w:val="00434106"/>
    <w:rsid w:val="004348EF"/>
    <w:rsid w:val="0043534A"/>
    <w:rsid w:val="0043554C"/>
    <w:rsid w:val="0043615D"/>
    <w:rsid w:val="00436189"/>
    <w:rsid w:val="00436465"/>
    <w:rsid w:val="00436CF9"/>
    <w:rsid w:val="004372B7"/>
    <w:rsid w:val="00437C3D"/>
    <w:rsid w:val="00437FD1"/>
    <w:rsid w:val="004414EA"/>
    <w:rsid w:val="00444CCC"/>
    <w:rsid w:val="00446063"/>
    <w:rsid w:val="00446C1B"/>
    <w:rsid w:val="0044745B"/>
    <w:rsid w:val="0045102B"/>
    <w:rsid w:val="004530A1"/>
    <w:rsid w:val="00453781"/>
    <w:rsid w:val="00454916"/>
    <w:rsid w:val="0045529E"/>
    <w:rsid w:val="004561FF"/>
    <w:rsid w:val="004565CB"/>
    <w:rsid w:val="00457646"/>
    <w:rsid w:val="00461BB9"/>
    <w:rsid w:val="00462065"/>
    <w:rsid w:val="00462D36"/>
    <w:rsid w:val="004634FE"/>
    <w:rsid w:val="004641B6"/>
    <w:rsid w:val="004654D5"/>
    <w:rsid w:val="00467479"/>
    <w:rsid w:val="004677ED"/>
    <w:rsid w:val="00470163"/>
    <w:rsid w:val="00472038"/>
    <w:rsid w:val="004725F2"/>
    <w:rsid w:val="00473777"/>
    <w:rsid w:val="00473EB4"/>
    <w:rsid w:val="00474B2C"/>
    <w:rsid w:val="00475679"/>
    <w:rsid w:val="00475BCA"/>
    <w:rsid w:val="00475C19"/>
    <w:rsid w:val="00476156"/>
    <w:rsid w:val="00476AB3"/>
    <w:rsid w:val="00476DA3"/>
    <w:rsid w:val="00477983"/>
    <w:rsid w:val="00482EF8"/>
    <w:rsid w:val="00484F35"/>
    <w:rsid w:val="00487D06"/>
    <w:rsid w:val="0049129C"/>
    <w:rsid w:val="004919FF"/>
    <w:rsid w:val="004936D2"/>
    <w:rsid w:val="00493CC4"/>
    <w:rsid w:val="00494F9D"/>
    <w:rsid w:val="004965E7"/>
    <w:rsid w:val="004968ED"/>
    <w:rsid w:val="00497824"/>
    <w:rsid w:val="004A044A"/>
    <w:rsid w:val="004A0611"/>
    <w:rsid w:val="004A187D"/>
    <w:rsid w:val="004A3FFF"/>
    <w:rsid w:val="004A4C12"/>
    <w:rsid w:val="004A4FBB"/>
    <w:rsid w:val="004A6B85"/>
    <w:rsid w:val="004A7127"/>
    <w:rsid w:val="004A7333"/>
    <w:rsid w:val="004B00BB"/>
    <w:rsid w:val="004B0A43"/>
    <w:rsid w:val="004B35CA"/>
    <w:rsid w:val="004B4B63"/>
    <w:rsid w:val="004B63FA"/>
    <w:rsid w:val="004B6834"/>
    <w:rsid w:val="004B7BE0"/>
    <w:rsid w:val="004C3BDC"/>
    <w:rsid w:val="004C64C3"/>
    <w:rsid w:val="004C7940"/>
    <w:rsid w:val="004D13CE"/>
    <w:rsid w:val="004D16CB"/>
    <w:rsid w:val="004D3188"/>
    <w:rsid w:val="004D3F81"/>
    <w:rsid w:val="004D47D4"/>
    <w:rsid w:val="004D576D"/>
    <w:rsid w:val="004D5A3E"/>
    <w:rsid w:val="004D5A5F"/>
    <w:rsid w:val="004D644C"/>
    <w:rsid w:val="004E0A64"/>
    <w:rsid w:val="004E4845"/>
    <w:rsid w:val="004E5520"/>
    <w:rsid w:val="004E68EA"/>
    <w:rsid w:val="004E7EA5"/>
    <w:rsid w:val="004F164E"/>
    <w:rsid w:val="004F2D19"/>
    <w:rsid w:val="004F7248"/>
    <w:rsid w:val="004F7BCB"/>
    <w:rsid w:val="0050111F"/>
    <w:rsid w:val="00501F76"/>
    <w:rsid w:val="005046C3"/>
    <w:rsid w:val="00504A64"/>
    <w:rsid w:val="00506AC1"/>
    <w:rsid w:val="00510C98"/>
    <w:rsid w:val="005163F8"/>
    <w:rsid w:val="0051698E"/>
    <w:rsid w:val="00517166"/>
    <w:rsid w:val="00517C46"/>
    <w:rsid w:val="0052062E"/>
    <w:rsid w:val="0052155A"/>
    <w:rsid w:val="005225B6"/>
    <w:rsid w:val="005229E9"/>
    <w:rsid w:val="00523C0A"/>
    <w:rsid w:val="00525DCE"/>
    <w:rsid w:val="005300DF"/>
    <w:rsid w:val="00532349"/>
    <w:rsid w:val="00533555"/>
    <w:rsid w:val="00533777"/>
    <w:rsid w:val="00534816"/>
    <w:rsid w:val="00535880"/>
    <w:rsid w:val="005377F1"/>
    <w:rsid w:val="00540B8B"/>
    <w:rsid w:val="005437E7"/>
    <w:rsid w:val="00543ADA"/>
    <w:rsid w:val="0054515D"/>
    <w:rsid w:val="00545B9C"/>
    <w:rsid w:val="00545D46"/>
    <w:rsid w:val="005471DB"/>
    <w:rsid w:val="00550033"/>
    <w:rsid w:val="005522AA"/>
    <w:rsid w:val="00552621"/>
    <w:rsid w:val="005530ED"/>
    <w:rsid w:val="005534F5"/>
    <w:rsid w:val="005541AC"/>
    <w:rsid w:val="00555CF5"/>
    <w:rsid w:val="00556D92"/>
    <w:rsid w:val="00557B9B"/>
    <w:rsid w:val="0056002A"/>
    <w:rsid w:val="00560104"/>
    <w:rsid w:val="00562221"/>
    <w:rsid w:val="00564179"/>
    <w:rsid w:val="0056441A"/>
    <w:rsid w:val="00566E0D"/>
    <w:rsid w:val="00567780"/>
    <w:rsid w:val="00570D09"/>
    <w:rsid w:val="0057203F"/>
    <w:rsid w:val="00572094"/>
    <w:rsid w:val="00574E78"/>
    <w:rsid w:val="00576016"/>
    <w:rsid w:val="0057674F"/>
    <w:rsid w:val="00576EFC"/>
    <w:rsid w:val="00583774"/>
    <w:rsid w:val="00584E3B"/>
    <w:rsid w:val="00585805"/>
    <w:rsid w:val="00587623"/>
    <w:rsid w:val="00590589"/>
    <w:rsid w:val="00590CDD"/>
    <w:rsid w:val="005921E7"/>
    <w:rsid w:val="00592A58"/>
    <w:rsid w:val="00593746"/>
    <w:rsid w:val="00593D9E"/>
    <w:rsid w:val="00593F67"/>
    <w:rsid w:val="00594083"/>
    <w:rsid w:val="005973F9"/>
    <w:rsid w:val="00597B45"/>
    <w:rsid w:val="00597EFA"/>
    <w:rsid w:val="005A2A5D"/>
    <w:rsid w:val="005A2E81"/>
    <w:rsid w:val="005A632D"/>
    <w:rsid w:val="005B1EB6"/>
    <w:rsid w:val="005B3506"/>
    <w:rsid w:val="005B63E5"/>
    <w:rsid w:val="005B69C8"/>
    <w:rsid w:val="005B7A8A"/>
    <w:rsid w:val="005C1B56"/>
    <w:rsid w:val="005C1D71"/>
    <w:rsid w:val="005C21FA"/>
    <w:rsid w:val="005C3DAF"/>
    <w:rsid w:val="005C4877"/>
    <w:rsid w:val="005C6113"/>
    <w:rsid w:val="005D12A3"/>
    <w:rsid w:val="005D2E97"/>
    <w:rsid w:val="005D38D2"/>
    <w:rsid w:val="005D5FCB"/>
    <w:rsid w:val="005D72C2"/>
    <w:rsid w:val="005D7DAC"/>
    <w:rsid w:val="005E005F"/>
    <w:rsid w:val="005E0455"/>
    <w:rsid w:val="005E10F2"/>
    <w:rsid w:val="005E15CA"/>
    <w:rsid w:val="005E1894"/>
    <w:rsid w:val="005E1BF2"/>
    <w:rsid w:val="005E22B1"/>
    <w:rsid w:val="005E4558"/>
    <w:rsid w:val="005E6D58"/>
    <w:rsid w:val="005E76DF"/>
    <w:rsid w:val="005F31D0"/>
    <w:rsid w:val="005F3537"/>
    <w:rsid w:val="005F539F"/>
    <w:rsid w:val="005F7000"/>
    <w:rsid w:val="005F7E6D"/>
    <w:rsid w:val="00603158"/>
    <w:rsid w:val="00603A62"/>
    <w:rsid w:val="00603C3C"/>
    <w:rsid w:val="00604FF4"/>
    <w:rsid w:val="00605A7C"/>
    <w:rsid w:val="00605C0C"/>
    <w:rsid w:val="00607A68"/>
    <w:rsid w:val="006106A0"/>
    <w:rsid w:val="006116A1"/>
    <w:rsid w:val="00612182"/>
    <w:rsid w:val="0061248E"/>
    <w:rsid w:val="006143EA"/>
    <w:rsid w:val="00615354"/>
    <w:rsid w:val="00615AC1"/>
    <w:rsid w:val="006179CA"/>
    <w:rsid w:val="00617B88"/>
    <w:rsid w:val="00620890"/>
    <w:rsid w:val="00622221"/>
    <w:rsid w:val="00622619"/>
    <w:rsid w:val="00623719"/>
    <w:rsid w:val="006272E7"/>
    <w:rsid w:val="00627F25"/>
    <w:rsid w:val="00630CB4"/>
    <w:rsid w:val="0063142A"/>
    <w:rsid w:val="00631889"/>
    <w:rsid w:val="00633F09"/>
    <w:rsid w:val="006363FE"/>
    <w:rsid w:val="00640D46"/>
    <w:rsid w:val="00642D91"/>
    <w:rsid w:val="0064355B"/>
    <w:rsid w:val="00653836"/>
    <w:rsid w:val="0065513C"/>
    <w:rsid w:val="00655918"/>
    <w:rsid w:val="00662E08"/>
    <w:rsid w:val="0066324B"/>
    <w:rsid w:val="00663B96"/>
    <w:rsid w:val="00664580"/>
    <w:rsid w:val="0066488F"/>
    <w:rsid w:val="006652EB"/>
    <w:rsid w:val="0066621F"/>
    <w:rsid w:val="00667061"/>
    <w:rsid w:val="00667327"/>
    <w:rsid w:val="00673611"/>
    <w:rsid w:val="0067466B"/>
    <w:rsid w:val="0067506F"/>
    <w:rsid w:val="00675E8A"/>
    <w:rsid w:val="00675EE8"/>
    <w:rsid w:val="00676D82"/>
    <w:rsid w:val="00677DBD"/>
    <w:rsid w:val="00680266"/>
    <w:rsid w:val="0068372F"/>
    <w:rsid w:val="00685184"/>
    <w:rsid w:val="00685E10"/>
    <w:rsid w:val="0068628F"/>
    <w:rsid w:val="0069018E"/>
    <w:rsid w:val="0069613F"/>
    <w:rsid w:val="006A0622"/>
    <w:rsid w:val="006A2BBD"/>
    <w:rsid w:val="006A33D7"/>
    <w:rsid w:val="006A33FA"/>
    <w:rsid w:val="006A5170"/>
    <w:rsid w:val="006A6F50"/>
    <w:rsid w:val="006B0857"/>
    <w:rsid w:val="006B1D46"/>
    <w:rsid w:val="006B33B3"/>
    <w:rsid w:val="006B559B"/>
    <w:rsid w:val="006B6271"/>
    <w:rsid w:val="006B71C7"/>
    <w:rsid w:val="006C0C9F"/>
    <w:rsid w:val="006C1566"/>
    <w:rsid w:val="006C27F3"/>
    <w:rsid w:val="006C2F19"/>
    <w:rsid w:val="006C35BF"/>
    <w:rsid w:val="006C3A6C"/>
    <w:rsid w:val="006C4806"/>
    <w:rsid w:val="006C4E9E"/>
    <w:rsid w:val="006C6055"/>
    <w:rsid w:val="006C6159"/>
    <w:rsid w:val="006D006E"/>
    <w:rsid w:val="006D0B70"/>
    <w:rsid w:val="006D241D"/>
    <w:rsid w:val="006D4397"/>
    <w:rsid w:val="006D59F2"/>
    <w:rsid w:val="006D6E89"/>
    <w:rsid w:val="006D7672"/>
    <w:rsid w:val="006D7BBE"/>
    <w:rsid w:val="006E0469"/>
    <w:rsid w:val="006E12FC"/>
    <w:rsid w:val="006E264E"/>
    <w:rsid w:val="006E2E7C"/>
    <w:rsid w:val="006E2F31"/>
    <w:rsid w:val="006E3BCB"/>
    <w:rsid w:val="006E46A9"/>
    <w:rsid w:val="006E5D32"/>
    <w:rsid w:val="006E6957"/>
    <w:rsid w:val="006E6C73"/>
    <w:rsid w:val="006E7EE6"/>
    <w:rsid w:val="006F0851"/>
    <w:rsid w:val="006F119A"/>
    <w:rsid w:val="006F4AE2"/>
    <w:rsid w:val="0070425F"/>
    <w:rsid w:val="00705E8B"/>
    <w:rsid w:val="00710139"/>
    <w:rsid w:val="0071183A"/>
    <w:rsid w:val="007128E9"/>
    <w:rsid w:val="00713531"/>
    <w:rsid w:val="0071456B"/>
    <w:rsid w:val="0071468E"/>
    <w:rsid w:val="00714864"/>
    <w:rsid w:val="007151A8"/>
    <w:rsid w:val="00716837"/>
    <w:rsid w:val="00716B79"/>
    <w:rsid w:val="00722B13"/>
    <w:rsid w:val="00724480"/>
    <w:rsid w:val="00724AB7"/>
    <w:rsid w:val="00727326"/>
    <w:rsid w:val="00727C01"/>
    <w:rsid w:val="0073308A"/>
    <w:rsid w:val="00733E4B"/>
    <w:rsid w:val="007372FB"/>
    <w:rsid w:val="00737336"/>
    <w:rsid w:val="00737CFE"/>
    <w:rsid w:val="00743328"/>
    <w:rsid w:val="00743D4B"/>
    <w:rsid w:val="00747A41"/>
    <w:rsid w:val="00750547"/>
    <w:rsid w:val="00750C7F"/>
    <w:rsid w:val="00750DE2"/>
    <w:rsid w:val="007525BF"/>
    <w:rsid w:val="00752BC2"/>
    <w:rsid w:val="00753F67"/>
    <w:rsid w:val="0075605A"/>
    <w:rsid w:val="007562C6"/>
    <w:rsid w:val="00756D78"/>
    <w:rsid w:val="007572C0"/>
    <w:rsid w:val="00757BDA"/>
    <w:rsid w:val="00757DF3"/>
    <w:rsid w:val="007608DE"/>
    <w:rsid w:val="00762165"/>
    <w:rsid w:val="00763439"/>
    <w:rsid w:val="00765F53"/>
    <w:rsid w:val="00766495"/>
    <w:rsid w:val="00766D30"/>
    <w:rsid w:val="00770B01"/>
    <w:rsid w:val="00772D18"/>
    <w:rsid w:val="00773331"/>
    <w:rsid w:val="007749AF"/>
    <w:rsid w:val="00776A08"/>
    <w:rsid w:val="007823ED"/>
    <w:rsid w:val="00783690"/>
    <w:rsid w:val="00784BBD"/>
    <w:rsid w:val="007855DB"/>
    <w:rsid w:val="007860B8"/>
    <w:rsid w:val="007870E1"/>
    <w:rsid w:val="007872E4"/>
    <w:rsid w:val="00791C9E"/>
    <w:rsid w:val="00791EA2"/>
    <w:rsid w:val="007932EF"/>
    <w:rsid w:val="00793794"/>
    <w:rsid w:val="00793E1E"/>
    <w:rsid w:val="00796146"/>
    <w:rsid w:val="00796EE8"/>
    <w:rsid w:val="007A0B5B"/>
    <w:rsid w:val="007A4369"/>
    <w:rsid w:val="007A478F"/>
    <w:rsid w:val="007B448C"/>
    <w:rsid w:val="007B4BF9"/>
    <w:rsid w:val="007B4E0D"/>
    <w:rsid w:val="007B5C12"/>
    <w:rsid w:val="007C0395"/>
    <w:rsid w:val="007C0E1C"/>
    <w:rsid w:val="007C1A82"/>
    <w:rsid w:val="007C3825"/>
    <w:rsid w:val="007C3ED1"/>
    <w:rsid w:val="007C76FE"/>
    <w:rsid w:val="007D19F1"/>
    <w:rsid w:val="007D1FBD"/>
    <w:rsid w:val="007D205D"/>
    <w:rsid w:val="007D2355"/>
    <w:rsid w:val="007D3D45"/>
    <w:rsid w:val="007D4C1B"/>
    <w:rsid w:val="007D55A4"/>
    <w:rsid w:val="007D5D60"/>
    <w:rsid w:val="007D66A4"/>
    <w:rsid w:val="007D6754"/>
    <w:rsid w:val="007E05B0"/>
    <w:rsid w:val="007E0BD5"/>
    <w:rsid w:val="007E0F65"/>
    <w:rsid w:val="007E1BC5"/>
    <w:rsid w:val="007E1E37"/>
    <w:rsid w:val="007E2A31"/>
    <w:rsid w:val="007E2C5B"/>
    <w:rsid w:val="007E50F3"/>
    <w:rsid w:val="007E569D"/>
    <w:rsid w:val="007E5C39"/>
    <w:rsid w:val="007E612A"/>
    <w:rsid w:val="007E6A9F"/>
    <w:rsid w:val="007F05ED"/>
    <w:rsid w:val="007F2425"/>
    <w:rsid w:val="007F2D33"/>
    <w:rsid w:val="007F36BC"/>
    <w:rsid w:val="007F39D9"/>
    <w:rsid w:val="007F4481"/>
    <w:rsid w:val="007F53A1"/>
    <w:rsid w:val="007F5A1D"/>
    <w:rsid w:val="007F65D8"/>
    <w:rsid w:val="007F759D"/>
    <w:rsid w:val="007F7792"/>
    <w:rsid w:val="008013C8"/>
    <w:rsid w:val="00802C69"/>
    <w:rsid w:val="00803A70"/>
    <w:rsid w:val="008041C5"/>
    <w:rsid w:val="0080480A"/>
    <w:rsid w:val="008062E0"/>
    <w:rsid w:val="00807339"/>
    <w:rsid w:val="008138B4"/>
    <w:rsid w:val="00814F60"/>
    <w:rsid w:val="00816B94"/>
    <w:rsid w:val="00816E36"/>
    <w:rsid w:val="00817360"/>
    <w:rsid w:val="00821423"/>
    <w:rsid w:val="00832902"/>
    <w:rsid w:val="00832C50"/>
    <w:rsid w:val="00833214"/>
    <w:rsid w:val="0083591F"/>
    <w:rsid w:val="00837BBB"/>
    <w:rsid w:val="008401C1"/>
    <w:rsid w:val="00841419"/>
    <w:rsid w:val="00841D31"/>
    <w:rsid w:val="00841EC9"/>
    <w:rsid w:val="00843075"/>
    <w:rsid w:val="008450A1"/>
    <w:rsid w:val="008468FB"/>
    <w:rsid w:val="00850EE1"/>
    <w:rsid w:val="00852B8D"/>
    <w:rsid w:val="00853A66"/>
    <w:rsid w:val="00854169"/>
    <w:rsid w:val="00854828"/>
    <w:rsid w:val="00856A9C"/>
    <w:rsid w:val="00857F12"/>
    <w:rsid w:val="008609CE"/>
    <w:rsid w:val="00860CC5"/>
    <w:rsid w:val="00861223"/>
    <w:rsid w:val="00864659"/>
    <w:rsid w:val="008660C7"/>
    <w:rsid w:val="00867514"/>
    <w:rsid w:val="00870E80"/>
    <w:rsid w:val="00871287"/>
    <w:rsid w:val="00871346"/>
    <w:rsid w:val="00871D6E"/>
    <w:rsid w:val="00872BF4"/>
    <w:rsid w:val="0087332B"/>
    <w:rsid w:val="00873E24"/>
    <w:rsid w:val="008749ED"/>
    <w:rsid w:val="00874BBE"/>
    <w:rsid w:val="00874D22"/>
    <w:rsid w:val="00874ECD"/>
    <w:rsid w:val="008758A4"/>
    <w:rsid w:val="00876352"/>
    <w:rsid w:val="00876F0C"/>
    <w:rsid w:val="008815B4"/>
    <w:rsid w:val="008911B7"/>
    <w:rsid w:val="00892562"/>
    <w:rsid w:val="0089634F"/>
    <w:rsid w:val="0089779A"/>
    <w:rsid w:val="00897E78"/>
    <w:rsid w:val="008A005B"/>
    <w:rsid w:val="008A0114"/>
    <w:rsid w:val="008A24E8"/>
    <w:rsid w:val="008A25EA"/>
    <w:rsid w:val="008A2914"/>
    <w:rsid w:val="008A3D0B"/>
    <w:rsid w:val="008A447D"/>
    <w:rsid w:val="008A5249"/>
    <w:rsid w:val="008A61AC"/>
    <w:rsid w:val="008A6FEE"/>
    <w:rsid w:val="008A71BC"/>
    <w:rsid w:val="008B245B"/>
    <w:rsid w:val="008B3844"/>
    <w:rsid w:val="008B3B71"/>
    <w:rsid w:val="008B66C2"/>
    <w:rsid w:val="008B6A1E"/>
    <w:rsid w:val="008B781A"/>
    <w:rsid w:val="008C43A8"/>
    <w:rsid w:val="008C564D"/>
    <w:rsid w:val="008C5EAE"/>
    <w:rsid w:val="008C6AA6"/>
    <w:rsid w:val="008D00D1"/>
    <w:rsid w:val="008D0641"/>
    <w:rsid w:val="008D3831"/>
    <w:rsid w:val="008D4C56"/>
    <w:rsid w:val="008D6413"/>
    <w:rsid w:val="008D74A8"/>
    <w:rsid w:val="008E4D8E"/>
    <w:rsid w:val="008E5FEB"/>
    <w:rsid w:val="008E623D"/>
    <w:rsid w:val="008E6940"/>
    <w:rsid w:val="008E6EDB"/>
    <w:rsid w:val="008E7DC2"/>
    <w:rsid w:val="008F1DF1"/>
    <w:rsid w:val="008F283C"/>
    <w:rsid w:val="008F2C8F"/>
    <w:rsid w:val="008F3FF2"/>
    <w:rsid w:val="008F4844"/>
    <w:rsid w:val="008F4A2F"/>
    <w:rsid w:val="00902E77"/>
    <w:rsid w:val="00904097"/>
    <w:rsid w:val="00904792"/>
    <w:rsid w:val="00906BFA"/>
    <w:rsid w:val="00907281"/>
    <w:rsid w:val="00907D2C"/>
    <w:rsid w:val="00910DEF"/>
    <w:rsid w:val="00912A76"/>
    <w:rsid w:val="00912CA2"/>
    <w:rsid w:val="0091349B"/>
    <w:rsid w:val="009135CF"/>
    <w:rsid w:val="00913F20"/>
    <w:rsid w:val="00914295"/>
    <w:rsid w:val="009152F5"/>
    <w:rsid w:val="009155CE"/>
    <w:rsid w:val="00916F8E"/>
    <w:rsid w:val="009200E0"/>
    <w:rsid w:val="00920153"/>
    <w:rsid w:val="009227E5"/>
    <w:rsid w:val="00922889"/>
    <w:rsid w:val="009240C2"/>
    <w:rsid w:val="00924759"/>
    <w:rsid w:val="00927DD6"/>
    <w:rsid w:val="00930A58"/>
    <w:rsid w:val="00930B91"/>
    <w:rsid w:val="00931BDF"/>
    <w:rsid w:val="009329D0"/>
    <w:rsid w:val="00932A2E"/>
    <w:rsid w:val="00933126"/>
    <w:rsid w:val="00943831"/>
    <w:rsid w:val="00944214"/>
    <w:rsid w:val="00944745"/>
    <w:rsid w:val="009467DB"/>
    <w:rsid w:val="00947773"/>
    <w:rsid w:val="00947FB7"/>
    <w:rsid w:val="00951B34"/>
    <w:rsid w:val="00951C17"/>
    <w:rsid w:val="00955BC3"/>
    <w:rsid w:val="00960EE4"/>
    <w:rsid w:val="00961CA1"/>
    <w:rsid w:val="00964D43"/>
    <w:rsid w:val="00965225"/>
    <w:rsid w:val="00965577"/>
    <w:rsid w:val="0096576D"/>
    <w:rsid w:val="0096707D"/>
    <w:rsid w:val="00967A90"/>
    <w:rsid w:val="00967EE2"/>
    <w:rsid w:val="00973028"/>
    <w:rsid w:val="00973620"/>
    <w:rsid w:val="00973779"/>
    <w:rsid w:val="009739C0"/>
    <w:rsid w:val="00973F8A"/>
    <w:rsid w:val="00974679"/>
    <w:rsid w:val="00974946"/>
    <w:rsid w:val="00974DE5"/>
    <w:rsid w:val="00975447"/>
    <w:rsid w:val="009755E6"/>
    <w:rsid w:val="00980C4D"/>
    <w:rsid w:val="00982660"/>
    <w:rsid w:val="00985AD8"/>
    <w:rsid w:val="00991094"/>
    <w:rsid w:val="0099134D"/>
    <w:rsid w:val="00992047"/>
    <w:rsid w:val="00992D1B"/>
    <w:rsid w:val="00996190"/>
    <w:rsid w:val="009962EA"/>
    <w:rsid w:val="009968C3"/>
    <w:rsid w:val="009A665D"/>
    <w:rsid w:val="009A6A13"/>
    <w:rsid w:val="009B1B3D"/>
    <w:rsid w:val="009B5F28"/>
    <w:rsid w:val="009B65D0"/>
    <w:rsid w:val="009B6846"/>
    <w:rsid w:val="009B7403"/>
    <w:rsid w:val="009B7579"/>
    <w:rsid w:val="009B7829"/>
    <w:rsid w:val="009C092C"/>
    <w:rsid w:val="009C3179"/>
    <w:rsid w:val="009C33BB"/>
    <w:rsid w:val="009C4578"/>
    <w:rsid w:val="009C5015"/>
    <w:rsid w:val="009C59D9"/>
    <w:rsid w:val="009D2428"/>
    <w:rsid w:val="009D255F"/>
    <w:rsid w:val="009D414E"/>
    <w:rsid w:val="009D515B"/>
    <w:rsid w:val="009D5213"/>
    <w:rsid w:val="009D64DA"/>
    <w:rsid w:val="009D7AF1"/>
    <w:rsid w:val="009E414A"/>
    <w:rsid w:val="009E4175"/>
    <w:rsid w:val="009E5778"/>
    <w:rsid w:val="009E5957"/>
    <w:rsid w:val="009E619C"/>
    <w:rsid w:val="009E6740"/>
    <w:rsid w:val="009E744B"/>
    <w:rsid w:val="009F0CB9"/>
    <w:rsid w:val="009F0E38"/>
    <w:rsid w:val="009F1778"/>
    <w:rsid w:val="009F3F97"/>
    <w:rsid w:val="009F4007"/>
    <w:rsid w:val="009F4276"/>
    <w:rsid w:val="009F42B2"/>
    <w:rsid w:val="009F5D6C"/>
    <w:rsid w:val="009F6F8F"/>
    <w:rsid w:val="00A007B2"/>
    <w:rsid w:val="00A009CF"/>
    <w:rsid w:val="00A00A5C"/>
    <w:rsid w:val="00A01BEA"/>
    <w:rsid w:val="00A01E3C"/>
    <w:rsid w:val="00A05054"/>
    <w:rsid w:val="00A06229"/>
    <w:rsid w:val="00A10089"/>
    <w:rsid w:val="00A10AD5"/>
    <w:rsid w:val="00A117F9"/>
    <w:rsid w:val="00A13666"/>
    <w:rsid w:val="00A209AC"/>
    <w:rsid w:val="00A234AB"/>
    <w:rsid w:val="00A23B5D"/>
    <w:rsid w:val="00A23C16"/>
    <w:rsid w:val="00A23D66"/>
    <w:rsid w:val="00A26947"/>
    <w:rsid w:val="00A27882"/>
    <w:rsid w:val="00A34819"/>
    <w:rsid w:val="00A34ECA"/>
    <w:rsid w:val="00A36403"/>
    <w:rsid w:val="00A37712"/>
    <w:rsid w:val="00A408D3"/>
    <w:rsid w:val="00A419E6"/>
    <w:rsid w:val="00A42D02"/>
    <w:rsid w:val="00A45309"/>
    <w:rsid w:val="00A46BDB"/>
    <w:rsid w:val="00A46C24"/>
    <w:rsid w:val="00A47A5B"/>
    <w:rsid w:val="00A525D3"/>
    <w:rsid w:val="00A53057"/>
    <w:rsid w:val="00A60589"/>
    <w:rsid w:val="00A61377"/>
    <w:rsid w:val="00A61D9C"/>
    <w:rsid w:val="00A66D24"/>
    <w:rsid w:val="00A67019"/>
    <w:rsid w:val="00A67EF0"/>
    <w:rsid w:val="00A71DAF"/>
    <w:rsid w:val="00A71F6E"/>
    <w:rsid w:val="00A7210F"/>
    <w:rsid w:val="00A724CC"/>
    <w:rsid w:val="00A738E5"/>
    <w:rsid w:val="00A75290"/>
    <w:rsid w:val="00A80A07"/>
    <w:rsid w:val="00A86A89"/>
    <w:rsid w:val="00A90EE8"/>
    <w:rsid w:val="00A9263E"/>
    <w:rsid w:val="00A93033"/>
    <w:rsid w:val="00A9321D"/>
    <w:rsid w:val="00A93825"/>
    <w:rsid w:val="00AA00EF"/>
    <w:rsid w:val="00AA070B"/>
    <w:rsid w:val="00AA1CA5"/>
    <w:rsid w:val="00AA2DDE"/>
    <w:rsid w:val="00AA3BD3"/>
    <w:rsid w:val="00AA4608"/>
    <w:rsid w:val="00AA4F81"/>
    <w:rsid w:val="00AA51E7"/>
    <w:rsid w:val="00AA5596"/>
    <w:rsid w:val="00AA6620"/>
    <w:rsid w:val="00AA7196"/>
    <w:rsid w:val="00AA76F2"/>
    <w:rsid w:val="00AB1C20"/>
    <w:rsid w:val="00AB335B"/>
    <w:rsid w:val="00AB395B"/>
    <w:rsid w:val="00AB40D9"/>
    <w:rsid w:val="00AB4184"/>
    <w:rsid w:val="00AB43A2"/>
    <w:rsid w:val="00AB4946"/>
    <w:rsid w:val="00AB4E24"/>
    <w:rsid w:val="00AB7CCE"/>
    <w:rsid w:val="00AC0044"/>
    <w:rsid w:val="00AC261E"/>
    <w:rsid w:val="00AC540E"/>
    <w:rsid w:val="00AC5D74"/>
    <w:rsid w:val="00AC6B48"/>
    <w:rsid w:val="00AC7B61"/>
    <w:rsid w:val="00AD060D"/>
    <w:rsid w:val="00AD3365"/>
    <w:rsid w:val="00AD56E0"/>
    <w:rsid w:val="00AD5C84"/>
    <w:rsid w:val="00AD5D46"/>
    <w:rsid w:val="00AE036D"/>
    <w:rsid w:val="00AE338E"/>
    <w:rsid w:val="00AE41F7"/>
    <w:rsid w:val="00AF0230"/>
    <w:rsid w:val="00AF048B"/>
    <w:rsid w:val="00AF0C05"/>
    <w:rsid w:val="00AF59B2"/>
    <w:rsid w:val="00B00625"/>
    <w:rsid w:val="00B01064"/>
    <w:rsid w:val="00B02E8D"/>
    <w:rsid w:val="00B06973"/>
    <w:rsid w:val="00B07876"/>
    <w:rsid w:val="00B07E94"/>
    <w:rsid w:val="00B10594"/>
    <w:rsid w:val="00B1129E"/>
    <w:rsid w:val="00B123AB"/>
    <w:rsid w:val="00B130ED"/>
    <w:rsid w:val="00B1539D"/>
    <w:rsid w:val="00B16E30"/>
    <w:rsid w:val="00B2016D"/>
    <w:rsid w:val="00B20319"/>
    <w:rsid w:val="00B20701"/>
    <w:rsid w:val="00B20A0E"/>
    <w:rsid w:val="00B23B01"/>
    <w:rsid w:val="00B26ADB"/>
    <w:rsid w:val="00B26E5B"/>
    <w:rsid w:val="00B27DD8"/>
    <w:rsid w:val="00B31654"/>
    <w:rsid w:val="00B3374C"/>
    <w:rsid w:val="00B342D3"/>
    <w:rsid w:val="00B34DEA"/>
    <w:rsid w:val="00B365CA"/>
    <w:rsid w:val="00B366C2"/>
    <w:rsid w:val="00B37085"/>
    <w:rsid w:val="00B431DC"/>
    <w:rsid w:val="00B46DCA"/>
    <w:rsid w:val="00B46F5B"/>
    <w:rsid w:val="00B4701B"/>
    <w:rsid w:val="00B4799B"/>
    <w:rsid w:val="00B51BE1"/>
    <w:rsid w:val="00B51C28"/>
    <w:rsid w:val="00B53265"/>
    <w:rsid w:val="00B55116"/>
    <w:rsid w:val="00B5572F"/>
    <w:rsid w:val="00B56C64"/>
    <w:rsid w:val="00B57704"/>
    <w:rsid w:val="00B57739"/>
    <w:rsid w:val="00B617BC"/>
    <w:rsid w:val="00B62A6D"/>
    <w:rsid w:val="00B64E7C"/>
    <w:rsid w:val="00B654C4"/>
    <w:rsid w:val="00B72ABD"/>
    <w:rsid w:val="00B753A5"/>
    <w:rsid w:val="00B77A09"/>
    <w:rsid w:val="00B803E1"/>
    <w:rsid w:val="00B8129F"/>
    <w:rsid w:val="00B820DD"/>
    <w:rsid w:val="00B8260C"/>
    <w:rsid w:val="00B82B1A"/>
    <w:rsid w:val="00B86652"/>
    <w:rsid w:val="00B87A6A"/>
    <w:rsid w:val="00B90A8C"/>
    <w:rsid w:val="00B9314F"/>
    <w:rsid w:val="00B95D1C"/>
    <w:rsid w:val="00B979D1"/>
    <w:rsid w:val="00BA1D30"/>
    <w:rsid w:val="00BA1EB0"/>
    <w:rsid w:val="00BA280E"/>
    <w:rsid w:val="00BA5AC5"/>
    <w:rsid w:val="00BA7854"/>
    <w:rsid w:val="00BB33A4"/>
    <w:rsid w:val="00BB7B97"/>
    <w:rsid w:val="00BC15A5"/>
    <w:rsid w:val="00BC357A"/>
    <w:rsid w:val="00BC454A"/>
    <w:rsid w:val="00BC5B4D"/>
    <w:rsid w:val="00BC5D0E"/>
    <w:rsid w:val="00BD2B81"/>
    <w:rsid w:val="00BD3D8C"/>
    <w:rsid w:val="00BD5A4C"/>
    <w:rsid w:val="00BD707A"/>
    <w:rsid w:val="00BE00BB"/>
    <w:rsid w:val="00BE3BFF"/>
    <w:rsid w:val="00BE425F"/>
    <w:rsid w:val="00BE45F2"/>
    <w:rsid w:val="00BE4CE0"/>
    <w:rsid w:val="00BE56E4"/>
    <w:rsid w:val="00BE648A"/>
    <w:rsid w:val="00BE7F7D"/>
    <w:rsid w:val="00BF040E"/>
    <w:rsid w:val="00BF041A"/>
    <w:rsid w:val="00BF1508"/>
    <w:rsid w:val="00BF32AE"/>
    <w:rsid w:val="00BF40FD"/>
    <w:rsid w:val="00BF4B15"/>
    <w:rsid w:val="00BF6003"/>
    <w:rsid w:val="00BF7E7A"/>
    <w:rsid w:val="00C025AA"/>
    <w:rsid w:val="00C02E19"/>
    <w:rsid w:val="00C03079"/>
    <w:rsid w:val="00C03DE4"/>
    <w:rsid w:val="00C0571A"/>
    <w:rsid w:val="00C05750"/>
    <w:rsid w:val="00C071E3"/>
    <w:rsid w:val="00C10915"/>
    <w:rsid w:val="00C12301"/>
    <w:rsid w:val="00C12E94"/>
    <w:rsid w:val="00C138E7"/>
    <w:rsid w:val="00C14AD2"/>
    <w:rsid w:val="00C154F8"/>
    <w:rsid w:val="00C15751"/>
    <w:rsid w:val="00C15AA7"/>
    <w:rsid w:val="00C172B4"/>
    <w:rsid w:val="00C17B09"/>
    <w:rsid w:val="00C17E71"/>
    <w:rsid w:val="00C2174A"/>
    <w:rsid w:val="00C218DB"/>
    <w:rsid w:val="00C22BEE"/>
    <w:rsid w:val="00C22CDB"/>
    <w:rsid w:val="00C27568"/>
    <w:rsid w:val="00C30725"/>
    <w:rsid w:val="00C31E2A"/>
    <w:rsid w:val="00C333BF"/>
    <w:rsid w:val="00C34B78"/>
    <w:rsid w:val="00C35805"/>
    <w:rsid w:val="00C35F25"/>
    <w:rsid w:val="00C37EDC"/>
    <w:rsid w:val="00C43B5C"/>
    <w:rsid w:val="00C51814"/>
    <w:rsid w:val="00C51CFE"/>
    <w:rsid w:val="00C53766"/>
    <w:rsid w:val="00C5405A"/>
    <w:rsid w:val="00C54518"/>
    <w:rsid w:val="00C54FB6"/>
    <w:rsid w:val="00C55185"/>
    <w:rsid w:val="00C552D4"/>
    <w:rsid w:val="00C555E0"/>
    <w:rsid w:val="00C55C17"/>
    <w:rsid w:val="00C57957"/>
    <w:rsid w:val="00C62E7E"/>
    <w:rsid w:val="00C632F4"/>
    <w:rsid w:val="00C637B7"/>
    <w:rsid w:val="00C64E9F"/>
    <w:rsid w:val="00C66980"/>
    <w:rsid w:val="00C671B8"/>
    <w:rsid w:val="00C67F85"/>
    <w:rsid w:val="00C71A6B"/>
    <w:rsid w:val="00C72A74"/>
    <w:rsid w:val="00C75EF8"/>
    <w:rsid w:val="00C76C86"/>
    <w:rsid w:val="00C77133"/>
    <w:rsid w:val="00C81CCC"/>
    <w:rsid w:val="00C83502"/>
    <w:rsid w:val="00C86A8B"/>
    <w:rsid w:val="00C90E14"/>
    <w:rsid w:val="00C935F9"/>
    <w:rsid w:val="00C979C0"/>
    <w:rsid w:val="00CA0637"/>
    <w:rsid w:val="00CA27B7"/>
    <w:rsid w:val="00CA55C3"/>
    <w:rsid w:val="00CB00FB"/>
    <w:rsid w:val="00CB0D81"/>
    <w:rsid w:val="00CB711D"/>
    <w:rsid w:val="00CC06E4"/>
    <w:rsid w:val="00CC1B72"/>
    <w:rsid w:val="00CC1BB6"/>
    <w:rsid w:val="00CC5F97"/>
    <w:rsid w:val="00CC7EB0"/>
    <w:rsid w:val="00CD02AB"/>
    <w:rsid w:val="00CD0EAC"/>
    <w:rsid w:val="00CD1662"/>
    <w:rsid w:val="00CD187F"/>
    <w:rsid w:val="00CD30CE"/>
    <w:rsid w:val="00CD4B57"/>
    <w:rsid w:val="00CD60DC"/>
    <w:rsid w:val="00CD710D"/>
    <w:rsid w:val="00CD7DC9"/>
    <w:rsid w:val="00CE0926"/>
    <w:rsid w:val="00CE10C0"/>
    <w:rsid w:val="00CE1518"/>
    <w:rsid w:val="00CE367A"/>
    <w:rsid w:val="00CE3FA7"/>
    <w:rsid w:val="00CE5407"/>
    <w:rsid w:val="00CE5C2F"/>
    <w:rsid w:val="00CF0CCA"/>
    <w:rsid w:val="00CF0F0D"/>
    <w:rsid w:val="00CF375B"/>
    <w:rsid w:val="00CF3D76"/>
    <w:rsid w:val="00CF44FA"/>
    <w:rsid w:val="00CF52C2"/>
    <w:rsid w:val="00CF54C4"/>
    <w:rsid w:val="00CF6F1B"/>
    <w:rsid w:val="00CF79D5"/>
    <w:rsid w:val="00D00BDB"/>
    <w:rsid w:val="00D00BE8"/>
    <w:rsid w:val="00D00EC5"/>
    <w:rsid w:val="00D01E5D"/>
    <w:rsid w:val="00D01E79"/>
    <w:rsid w:val="00D039A8"/>
    <w:rsid w:val="00D045F1"/>
    <w:rsid w:val="00D052A3"/>
    <w:rsid w:val="00D057BE"/>
    <w:rsid w:val="00D1237E"/>
    <w:rsid w:val="00D13619"/>
    <w:rsid w:val="00D1463B"/>
    <w:rsid w:val="00D1507D"/>
    <w:rsid w:val="00D1519A"/>
    <w:rsid w:val="00D163D0"/>
    <w:rsid w:val="00D20381"/>
    <w:rsid w:val="00D218A1"/>
    <w:rsid w:val="00D2278F"/>
    <w:rsid w:val="00D23257"/>
    <w:rsid w:val="00D31A35"/>
    <w:rsid w:val="00D329BC"/>
    <w:rsid w:val="00D3370A"/>
    <w:rsid w:val="00D359F7"/>
    <w:rsid w:val="00D410E7"/>
    <w:rsid w:val="00D413C8"/>
    <w:rsid w:val="00D4194E"/>
    <w:rsid w:val="00D4315B"/>
    <w:rsid w:val="00D45286"/>
    <w:rsid w:val="00D46150"/>
    <w:rsid w:val="00D4785B"/>
    <w:rsid w:val="00D51A42"/>
    <w:rsid w:val="00D543C0"/>
    <w:rsid w:val="00D55422"/>
    <w:rsid w:val="00D55CA5"/>
    <w:rsid w:val="00D600C5"/>
    <w:rsid w:val="00D6217B"/>
    <w:rsid w:val="00D627D8"/>
    <w:rsid w:val="00D63CBA"/>
    <w:rsid w:val="00D64FA8"/>
    <w:rsid w:val="00D6767E"/>
    <w:rsid w:val="00D70D2C"/>
    <w:rsid w:val="00D711F6"/>
    <w:rsid w:val="00D74217"/>
    <w:rsid w:val="00D74A22"/>
    <w:rsid w:val="00D75DF4"/>
    <w:rsid w:val="00D77880"/>
    <w:rsid w:val="00D82D48"/>
    <w:rsid w:val="00D90E2F"/>
    <w:rsid w:val="00D93288"/>
    <w:rsid w:val="00D94B86"/>
    <w:rsid w:val="00D9651C"/>
    <w:rsid w:val="00D976D0"/>
    <w:rsid w:val="00DA17BA"/>
    <w:rsid w:val="00DA3762"/>
    <w:rsid w:val="00DA498B"/>
    <w:rsid w:val="00DA7B9E"/>
    <w:rsid w:val="00DB0041"/>
    <w:rsid w:val="00DB0B61"/>
    <w:rsid w:val="00DB429F"/>
    <w:rsid w:val="00DB479A"/>
    <w:rsid w:val="00DB594D"/>
    <w:rsid w:val="00DB6AB7"/>
    <w:rsid w:val="00DB6CB1"/>
    <w:rsid w:val="00DB6E12"/>
    <w:rsid w:val="00DB7D91"/>
    <w:rsid w:val="00DC0469"/>
    <w:rsid w:val="00DC0C67"/>
    <w:rsid w:val="00DC1409"/>
    <w:rsid w:val="00DC3AB2"/>
    <w:rsid w:val="00DC40C3"/>
    <w:rsid w:val="00DC45CD"/>
    <w:rsid w:val="00DC7F77"/>
    <w:rsid w:val="00DD2515"/>
    <w:rsid w:val="00DD3991"/>
    <w:rsid w:val="00DD6EAE"/>
    <w:rsid w:val="00DD78A5"/>
    <w:rsid w:val="00DE34A2"/>
    <w:rsid w:val="00DE3949"/>
    <w:rsid w:val="00DE3AE8"/>
    <w:rsid w:val="00DE5A65"/>
    <w:rsid w:val="00DF07CB"/>
    <w:rsid w:val="00DF296C"/>
    <w:rsid w:val="00DF3433"/>
    <w:rsid w:val="00E00164"/>
    <w:rsid w:val="00E00F6F"/>
    <w:rsid w:val="00E023D3"/>
    <w:rsid w:val="00E02D90"/>
    <w:rsid w:val="00E03E0D"/>
    <w:rsid w:val="00E042DE"/>
    <w:rsid w:val="00E04694"/>
    <w:rsid w:val="00E04F07"/>
    <w:rsid w:val="00E069E1"/>
    <w:rsid w:val="00E07073"/>
    <w:rsid w:val="00E10C22"/>
    <w:rsid w:val="00E11281"/>
    <w:rsid w:val="00E11627"/>
    <w:rsid w:val="00E12458"/>
    <w:rsid w:val="00E126F9"/>
    <w:rsid w:val="00E12E40"/>
    <w:rsid w:val="00E15C09"/>
    <w:rsid w:val="00E20D50"/>
    <w:rsid w:val="00E23964"/>
    <w:rsid w:val="00E23A6A"/>
    <w:rsid w:val="00E25D5C"/>
    <w:rsid w:val="00E25E6A"/>
    <w:rsid w:val="00E30BCF"/>
    <w:rsid w:val="00E3152A"/>
    <w:rsid w:val="00E3576F"/>
    <w:rsid w:val="00E35EF0"/>
    <w:rsid w:val="00E36CEF"/>
    <w:rsid w:val="00E37222"/>
    <w:rsid w:val="00E417DA"/>
    <w:rsid w:val="00E4289F"/>
    <w:rsid w:val="00E47729"/>
    <w:rsid w:val="00E51D9E"/>
    <w:rsid w:val="00E5343C"/>
    <w:rsid w:val="00E565F2"/>
    <w:rsid w:val="00E56E16"/>
    <w:rsid w:val="00E617FE"/>
    <w:rsid w:val="00E6265F"/>
    <w:rsid w:val="00E62C1E"/>
    <w:rsid w:val="00E64DF0"/>
    <w:rsid w:val="00E66348"/>
    <w:rsid w:val="00E66F38"/>
    <w:rsid w:val="00E67909"/>
    <w:rsid w:val="00E67FE0"/>
    <w:rsid w:val="00E72614"/>
    <w:rsid w:val="00E75B6D"/>
    <w:rsid w:val="00E75C72"/>
    <w:rsid w:val="00E75EE6"/>
    <w:rsid w:val="00E807FE"/>
    <w:rsid w:val="00E8093A"/>
    <w:rsid w:val="00E8166D"/>
    <w:rsid w:val="00E81A36"/>
    <w:rsid w:val="00E8315B"/>
    <w:rsid w:val="00E835F7"/>
    <w:rsid w:val="00E84C2B"/>
    <w:rsid w:val="00E857D4"/>
    <w:rsid w:val="00E85A0F"/>
    <w:rsid w:val="00E87240"/>
    <w:rsid w:val="00E91135"/>
    <w:rsid w:val="00E95B97"/>
    <w:rsid w:val="00E97CE0"/>
    <w:rsid w:val="00E97F6C"/>
    <w:rsid w:val="00EA20BB"/>
    <w:rsid w:val="00EA316F"/>
    <w:rsid w:val="00EA4868"/>
    <w:rsid w:val="00EA543F"/>
    <w:rsid w:val="00EA562E"/>
    <w:rsid w:val="00EA5E0A"/>
    <w:rsid w:val="00EB329A"/>
    <w:rsid w:val="00EB3FA5"/>
    <w:rsid w:val="00EB4DB4"/>
    <w:rsid w:val="00EB5B74"/>
    <w:rsid w:val="00EB6129"/>
    <w:rsid w:val="00EB6C0C"/>
    <w:rsid w:val="00EB78E1"/>
    <w:rsid w:val="00EB7ABC"/>
    <w:rsid w:val="00EC0EB7"/>
    <w:rsid w:val="00EC0FE9"/>
    <w:rsid w:val="00EC11A0"/>
    <w:rsid w:val="00EC3297"/>
    <w:rsid w:val="00EC4197"/>
    <w:rsid w:val="00EC55BB"/>
    <w:rsid w:val="00EC5E03"/>
    <w:rsid w:val="00EC7053"/>
    <w:rsid w:val="00EC720A"/>
    <w:rsid w:val="00EC7E7B"/>
    <w:rsid w:val="00ED06BE"/>
    <w:rsid w:val="00ED1493"/>
    <w:rsid w:val="00ED3021"/>
    <w:rsid w:val="00ED4030"/>
    <w:rsid w:val="00ED4688"/>
    <w:rsid w:val="00ED4689"/>
    <w:rsid w:val="00ED76B6"/>
    <w:rsid w:val="00EE0AE9"/>
    <w:rsid w:val="00EE1FB3"/>
    <w:rsid w:val="00EE33CB"/>
    <w:rsid w:val="00EE3C73"/>
    <w:rsid w:val="00EE3E6B"/>
    <w:rsid w:val="00EE4163"/>
    <w:rsid w:val="00EE41B0"/>
    <w:rsid w:val="00EE5BFA"/>
    <w:rsid w:val="00EE6D88"/>
    <w:rsid w:val="00EF0AAB"/>
    <w:rsid w:val="00EF198B"/>
    <w:rsid w:val="00EF3392"/>
    <w:rsid w:val="00EF45E1"/>
    <w:rsid w:val="00EF76A8"/>
    <w:rsid w:val="00EF7B79"/>
    <w:rsid w:val="00F002DA"/>
    <w:rsid w:val="00F00FC7"/>
    <w:rsid w:val="00F023EA"/>
    <w:rsid w:val="00F05D4F"/>
    <w:rsid w:val="00F05DAF"/>
    <w:rsid w:val="00F07BEB"/>
    <w:rsid w:val="00F07C43"/>
    <w:rsid w:val="00F12E9A"/>
    <w:rsid w:val="00F13F19"/>
    <w:rsid w:val="00F17E90"/>
    <w:rsid w:val="00F2189C"/>
    <w:rsid w:val="00F249F1"/>
    <w:rsid w:val="00F26894"/>
    <w:rsid w:val="00F26F92"/>
    <w:rsid w:val="00F275CC"/>
    <w:rsid w:val="00F3007B"/>
    <w:rsid w:val="00F3368A"/>
    <w:rsid w:val="00F34743"/>
    <w:rsid w:val="00F35463"/>
    <w:rsid w:val="00F35DBA"/>
    <w:rsid w:val="00F36BDF"/>
    <w:rsid w:val="00F375B6"/>
    <w:rsid w:val="00F43E63"/>
    <w:rsid w:val="00F45393"/>
    <w:rsid w:val="00F470F5"/>
    <w:rsid w:val="00F478AE"/>
    <w:rsid w:val="00F50C8E"/>
    <w:rsid w:val="00F54049"/>
    <w:rsid w:val="00F57B07"/>
    <w:rsid w:val="00F62F39"/>
    <w:rsid w:val="00F637E5"/>
    <w:rsid w:val="00F64278"/>
    <w:rsid w:val="00F65AD7"/>
    <w:rsid w:val="00F660E3"/>
    <w:rsid w:val="00F71918"/>
    <w:rsid w:val="00F71C7A"/>
    <w:rsid w:val="00F727FF"/>
    <w:rsid w:val="00F72BD4"/>
    <w:rsid w:val="00F72CCE"/>
    <w:rsid w:val="00F73B08"/>
    <w:rsid w:val="00F740F9"/>
    <w:rsid w:val="00F76E68"/>
    <w:rsid w:val="00F7705F"/>
    <w:rsid w:val="00F770BA"/>
    <w:rsid w:val="00F80ACC"/>
    <w:rsid w:val="00F82B0F"/>
    <w:rsid w:val="00F83BF0"/>
    <w:rsid w:val="00F84517"/>
    <w:rsid w:val="00F84C06"/>
    <w:rsid w:val="00F8650C"/>
    <w:rsid w:val="00F86CBE"/>
    <w:rsid w:val="00F90A8A"/>
    <w:rsid w:val="00F90DF2"/>
    <w:rsid w:val="00F92BF5"/>
    <w:rsid w:val="00F94AB1"/>
    <w:rsid w:val="00F95C97"/>
    <w:rsid w:val="00F976AF"/>
    <w:rsid w:val="00F976D9"/>
    <w:rsid w:val="00F97E51"/>
    <w:rsid w:val="00FA05E1"/>
    <w:rsid w:val="00FA0C03"/>
    <w:rsid w:val="00FA1DBA"/>
    <w:rsid w:val="00FA2E51"/>
    <w:rsid w:val="00FA630E"/>
    <w:rsid w:val="00FA64B5"/>
    <w:rsid w:val="00FA66FD"/>
    <w:rsid w:val="00FA6DDC"/>
    <w:rsid w:val="00FB0811"/>
    <w:rsid w:val="00FB0B2A"/>
    <w:rsid w:val="00FB2459"/>
    <w:rsid w:val="00FB2642"/>
    <w:rsid w:val="00FB2B1E"/>
    <w:rsid w:val="00FB33A8"/>
    <w:rsid w:val="00FB5557"/>
    <w:rsid w:val="00FB572C"/>
    <w:rsid w:val="00FC11D2"/>
    <w:rsid w:val="00FC2003"/>
    <w:rsid w:val="00FC2A33"/>
    <w:rsid w:val="00FC2E96"/>
    <w:rsid w:val="00FC38F8"/>
    <w:rsid w:val="00FC48D5"/>
    <w:rsid w:val="00FC49FA"/>
    <w:rsid w:val="00FC4E06"/>
    <w:rsid w:val="00FC66E1"/>
    <w:rsid w:val="00FD08CD"/>
    <w:rsid w:val="00FD10D9"/>
    <w:rsid w:val="00FD1143"/>
    <w:rsid w:val="00FD233E"/>
    <w:rsid w:val="00FD241B"/>
    <w:rsid w:val="00FD29B3"/>
    <w:rsid w:val="00FD38F5"/>
    <w:rsid w:val="00FD5974"/>
    <w:rsid w:val="00FD6AC2"/>
    <w:rsid w:val="00FD7B0F"/>
    <w:rsid w:val="00FE10C8"/>
    <w:rsid w:val="00FE25C4"/>
    <w:rsid w:val="00FE56F3"/>
    <w:rsid w:val="00FE6C59"/>
    <w:rsid w:val="00FE7C09"/>
    <w:rsid w:val="00FF0D1C"/>
    <w:rsid w:val="00FF138C"/>
    <w:rsid w:val="00FF28F2"/>
    <w:rsid w:val="00FF2F7C"/>
    <w:rsid w:val="00FF3973"/>
    <w:rsid w:val="00FF6DEE"/>
    <w:rsid w:val="00FF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48A75"/>
  <w15:docId w15:val="{7B9F36CD-B83B-4EEC-BBB8-051B7419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20" w:after="120" w:line="240" w:lineRule="auto"/>
      <w:jc w:val="both"/>
    </w:pPr>
    <w:rPr>
      <w:rFonts w:ascii="Times New Roman" w:hAnsi="Times New Roman" w:cs="Times New Roman"/>
      <w:sz w:val="24"/>
      <w:lang w:val="en-GB"/>
    </w:rPr>
  </w:style>
  <w:style w:type="paragraph" w:styleId="Kop1">
    <w:name w:val="heading 1"/>
    <w:basedOn w:val="Standaard"/>
    <w:next w:val="Text1"/>
    <w:link w:val="Kop1Char"/>
    <w:uiPriority w:val="9"/>
    <w:qFormat/>
    <w:pPr>
      <w:keepNext/>
      <w:numPr>
        <w:numId w:val="31"/>
      </w:numPr>
      <w:spacing w:before="360"/>
      <w:outlineLvl w:val="0"/>
    </w:pPr>
    <w:rPr>
      <w:rFonts w:eastAsiaTheme="majorEastAsia"/>
      <w:b/>
      <w:bCs/>
      <w:smallCaps/>
      <w:szCs w:val="28"/>
    </w:rPr>
  </w:style>
  <w:style w:type="paragraph" w:styleId="Kop2">
    <w:name w:val="heading 2"/>
    <w:basedOn w:val="Standaard"/>
    <w:next w:val="Text1"/>
    <w:link w:val="Kop2Char"/>
    <w:uiPriority w:val="9"/>
    <w:semiHidden/>
    <w:unhideWhenUsed/>
    <w:qFormat/>
    <w:pPr>
      <w:keepNext/>
      <w:numPr>
        <w:ilvl w:val="1"/>
        <w:numId w:val="31"/>
      </w:numPr>
      <w:outlineLvl w:val="1"/>
    </w:pPr>
    <w:rPr>
      <w:rFonts w:eastAsiaTheme="majorEastAsia"/>
      <w:b/>
      <w:bCs/>
      <w:szCs w:val="26"/>
    </w:rPr>
  </w:style>
  <w:style w:type="paragraph" w:styleId="Kop3">
    <w:name w:val="heading 3"/>
    <w:basedOn w:val="Standaard"/>
    <w:next w:val="Text1"/>
    <w:link w:val="Kop3Char"/>
    <w:uiPriority w:val="9"/>
    <w:semiHidden/>
    <w:unhideWhenUsed/>
    <w:qFormat/>
    <w:pPr>
      <w:keepNext/>
      <w:numPr>
        <w:ilvl w:val="2"/>
        <w:numId w:val="31"/>
      </w:numPr>
      <w:outlineLvl w:val="2"/>
    </w:pPr>
    <w:rPr>
      <w:rFonts w:eastAsiaTheme="majorEastAsia"/>
      <w:bCs/>
      <w:i/>
    </w:rPr>
  </w:style>
  <w:style w:type="paragraph" w:styleId="Kop4">
    <w:name w:val="heading 4"/>
    <w:basedOn w:val="Standaard"/>
    <w:next w:val="Text1"/>
    <w:link w:val="Kop4Char"/>
    <w:uiPriority w:val="9"/>
    <w:semiHidden/>
    <w:unhideWhenUsed/>
    <w:qFormat/>
    <w:pPr>
      <w:keepNext/>
      <w:numPr>
        <w:ilvl w:val="3"/>
        <w:numId w:val="31"/>
      </w:numPr>
      <w:outlineLvl w:val="3"/>
    </w:pPr>
    <w:rPr>
      <w:rFonts w:eastAsiaTheme="majorEastAsia"/>
      <w:bCs/>
      <w:iCs/>
    </w:rPr>
  </w:style>
  <w:style w:type="paragraph" w:styleId="Kop5">
    <w:name w:val="heading 5"/>
    <w:basedOn w:val="Standaard"/>
    <w:next w:val="Text2"/>
    <w:link w:val="Kop5Char"/>
    <w:uiPriority w:val="9"/>
    <w:semiHidden/>
    <w:unhideWhenUsed/>
    <w:qFormat/>
    <w:pPr>
      <w:keepNext/>
      <w:numPr>
        <w:ilvl w:val="4"/>
        <w:numId w:val="31"/>
      </w:numPr>
      <w:outlineLvl w:val="4"/>
    </w:pPr>
    <w:rPr>
      <w:rFonts w:eastAsiaTheme="majorEastAsia"/>
    </w:rPr>
  </w:style>
  <w:style w:type="paragraph" w:styleId="Kop6">
    <w:name w:val="heading 6"/>
    <w:basedOn w:val="Standaard"/>
    <w:next w:val="Text2"/>
    <w:link w:val="Kop6Char"/>
    <w:uiPriority w:val="9"/>
    <w:semiHidden/>
    <w:unhideWhenUsed/>
    <w:qFormat/>
    <w:pPr>
      <w:keepNext/>
      <w:numPr>
        <w:ilvl w:val="5"/>
        <w:numId w:val="31"/>
      </w:numPr>
      <w:outlineLvl w:val="5"/>
    </w:pPr>
    <w:rPr>
      <w:rFonts w:eastAsiaTheme="majorEastAsia"/>
      <w:iCs/>
    </w:rPr>
  </w:style>
  <w:style w:type="paragraph" w:styleId="Kop7">
    <w:name w:val="heading 7"/>
    <w:basedOn w:val="Standaard"/>
    <w:next w:val="Text2"/>
    <w:link w:val="Kop7Char"/>
    <w:uiPriority w:val="9"/>
    <w:semiHidden/>
    <w:unhideWhenUsed/>
    <w:qFormat/>
    <w:pPr>
      <w:keepNext/>
      <w:numPr>
        <w:ilvl w:val="6"/>
        <w:numId w:val="31"/>
      </w:numPr>
      <w:outlineLvl w:val="6"/>
    </w:pPr>
    <w:rPr>
      <w:rFonts w:eastAsiaTheme="majorEastAsia"/>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rsid w:val="00E67FE0"/>
    <w:pPr>
      <w:numPr>
        <w:numId w:val="1"/>
      </w:numPr>
      <w:contextualSpacing/>
    </w:pPr>
  </w:style>
  <w:style w:type="paragraph" w:styleId="Lijstopsomteken2">
    <w:name w:val="List Bullet 2"/>
    <w:basedOn w:val="Standaard"/>
    <w:uiPriority w:val="99"/>
    <w:semiHidden/>
    <w:unhideWhenUsed/>
    <w:rsid w:val="00E67FE0"/>
    <w:pPr>
      <w:numPr>
        <w:numId w:val="2"/>
      </w:numPr>
      <w:contextualSpacing/>
    </w:pPr>
  </w:style>
  <w:style w:type="paragraph" w:styleId="Lijstopsomteken3">
    <w:name w:val="List Bullet 3"/>
    <w:basedOn w:val="Standaard"/>
    <w:uiPriority w:val="99"/>
    <w:semiHidden/>
    <w:unhideWhenUsed/>
    <w:rsid w:val="00E67FE0"/>
    <w:pPr>
      <w:numPr>
        <w:numId w:val="3"/>
      </w:numPr>
      <w:contextualSpacing/>
    </w:pPr>
  </w:style>
  <w:style w:type="paragraph" w:styleId="Lijstopsomteken4">
    <w:name w:val="List Bullet 4"/>
    <w:basedOn w:val="Standaard"/>
    <w:uiPriority w:val="99"/>
    <w:semiHidden/>
    <w:unhideWhenUsed/>
    <w:rsid w:val="00E67FE0"/>
    <w:pPr>
      <w:numPr>
        <w:numId w:val="4"/>
      </w:numPr>
      <w:contextualSpacing/>
    </w:pPr>
  </w:style>
  <w:style w:type="character" w:styleId="Hyperlink">
    <w:name w:val="Hyperlink"/>
    <w:basedOn w:val="Standaardalinea-lettertype"/>
    <w:uiPriority w:val="99"/>
    <w:unhideWhenUsed/>
    <w:rsid w:val="006C2F19"/>
    <w:rPr>
      <w:color w:val="0000FF" w:themeColor="hyperlink"/>
      <w:u w:val="single"/>
    </w:rPr>
  </w:style>
  <w:style w:type="character" w:styleId="Onopgelostemelding">
    <w:name w:val="Unresolved Mention"/>
    <w:basedOn w:val="Standaardalinea-lettertype"/>
    <w:uiPriority w:val="99"/>
    <w:semiHidden/>
    <w:unhideWhenUsed/>
    <w:rsid w:val="006C2F19"/>
    <w:rPr>
      <w:color w:val="605E5C"/>
      <w:shd w:val="clear" w:color="auto" w:fill="E1DFDD"/>
    </w:rPr>
  </w:style>
  <w:style w:type="character" w:styleId="Verwijzingopmerking">
    <w:name w:val="annotation reference"/>
    <w:basedOn w:val="Standaardalinea-lettertype"/>
    <w:uiPriority w:val="99"/>
    <w:semiHidden/>
    <w:unhideWhenUsed/>
    <w:rsid w:val="005046C3"/>
    <w:rPr>
      <w:sz w:val="16"/>
      <w:szCs w:val="16"/>
    </w:rPr>
  </w:style>
  <w:style w:type="paragraph" w:styleId="Tekstopmerking">
    <w:name w:val="annotation text"/>
    <w:basedOn w:val="Standaard"/>
    <w:link w:val="TekstopmerkingChar"/>
    <w:uiPriority w:val="99"/>
    <w:unhideWhenUsed/>
    <w:rsid w:val="005046C3"/>
    <w:rPr>
      <w:sz w:val="20"/>
      <w:szCs w:val="20"/>
    </w:rPr>
  </w:style>
  <w:style w:type="character" w:customStyle="1" w:styleId="TekstopmerkingChar">
    <w:name w:val="Tekst opmerking Char"/>
    <w:basedOn w:val="Standaardalinea-lettertype"/>
    <w:link w:val="Tekstopmerking"/>
    <w:uiPriority w:val="99"/>
    <w:rsid w:val="005046C3"/>
    <w:rPr>
      <w:rFonts w:ascii="Times New Roman" w:hAnsi="Times New Roman"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5046C3"/>
    <w:rPr>
      <w:b/>
      <w:bCs/>
    </w:rPr>
  </w:style>
  <w:style w:type="character" w:customStyle="1" w:styleId="OnderwerpvanopmerkingChar">
    <w:name w:val="Onderwerp van opmerking Char"/>
    <w:basedOn w:val="TekstopmerkingChar"/>
    <w:link w:val="Onderwerpvanopmerking"/>
    <w:uiPriority w:val="99"/>
    <w:semiHidden/>
    <w:rsid w:val="005046C3"/>
    <w:rPr>
      <w:rFonts w:ascii="Times New Roman" w:hAnsi="Times New Roman" w:cs="Times New Roman"/>
      <w:b/>
      <w:bCs/>
      <w:sz w:val="20"/>
      <w:szCs w:val="20"/>
      <w:lang w:val="en-GB"/>
    </w:rPr>
  </w:style>
  <w:style w:type="paragraph" w:styleId="Revisie">
    <w:name w:val="Revision"/>
    <w:hidden/>
    <w:uiPriority w:val="99"/>
    <w:semiHidden/>
    <w:rsid w:val="006E6C73"/>
    <w:pPr>
      <w:spacing w:after="0" w:line="240" w:lineRule="auto"/>
    </w:pPr>
    <w:rPr>
      <w:rFonts w:ascii="Times New Roman" w:hAnsi="Times New Roman" w:cs="Times New Roman"/>
      <w:sz w:val="24"/>
      <w:lang w:val="en-GB"/>
    </w:rPr>
  </w:style>
  <w:style w:type="character" w:styleId="GevolgdeHyperlink">
    <w:name w:val="FollowedHyperlink"/>
    <w:basedOn w:val="Standaardalinea-lettertype"/>
    <w:uiPriority w:val="99"/>
    <w:semiHidden/>
    <w:unhideWhenUsed/>
    <w:rsid w:val="00E11281"/>
    <w:rPr>
      <w:color w:val="800080" w:themeColor="followedHyperlink"/>
      <w:u w:val="single"/>
    </w:rPr>
  </w:style>
  <w:style w:type="character" w:customStyle="1" w:styleId="cf01">
    <w:name w:val="cf01"/>
    <w:basedOn w:val="Standaardalinea-lettertype"/>
    <w:rsid w:val="009B6846"/>
    <w:rPr>
      <w:rFonts w:ascii="Segoe UI" w:hAnsi="Segoe UI" w:cs="Segoe UI" w:hint="default"/>
      <w:sz w:val="18"/>
      <w:szCs w:val="18"/>
    </w:rPr>
  </w:style>
  <w:style w:type="paragraph" w:customStyle="1" w:styleId="Normal1">
    <w:name w:val="Normal1"/>
    <w:basedOn w:val="Standaard"/>
    <w:rsid w:val="00BD5A4C"/>
    <w:pPr>
      <w:spacing w:before="100" w:beforeAutospacing="1" w:after="100" w:afterAutospacing="1"/>
      <w:jc w:val="left"/>
    </w:pPr>
    <w:rPr>
      <w:rFonts w:eastAsia="Times New Roman"/>
      <w:szCs w:val="24"/>
      <w:lang w:val="en-IE" w:eastAsia="en-IE"/>
    </w:rPr>
  </w:style>
  <w:style w:type="character" w:styleId="Tekstvantijdelijkeaanduiding">
    <w:name w:val="Placeholder Text"/>
    <w:basedOn w:val="Standaardalinea-lettertype"/>
    <w:uiPriority w:val="99"/>
    <w:semiHidden/>
    <w:rsid w:val="007E1BC5"/>
    <w:rPr>
      <w:color w:val="808080"/>
    </w:rPr>
  </w:style>
  <w:style w:type="paragraph" w:styleId="Lijstalinea">
    <w:name w:val="List Paragraph"/>
    <w:basedOn w:val="Standaard"/>
    <w:uiPriority w:val="34"/>
    <w:qFormat/>
    <w:rsid w:val="00F07BEB"/>
    <w:pPr>
      <w:ind w:left="720"/>
      <w:contextualSpacing/>
    </w:pPr>
  </w:style>
  <w:style w:type="paragraph" w:styleId="Ondertitel">
    <w:name w:val="Subtitle"/>
    <w:basedOn w:val="Standaard"/>
    <w:next w:val="Standaard"/>
    <w:link w:val="OndertitelChar"/>
    <w:uiPriority w:val="11"/>
    <w:qFormat/>
    <w:rsid w:val="003D0EC7"/>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OndertitelChar">
    <w:name w:val="Ondertitel Char"/>
    <w:basedOn w:val="Standaardalinea-lettertype"/>
    <w:link w:val="Ondertitel"/>
    <w:uiPriority w:val="11"/>
    <w:rsid w:val="003D0EC7"/>
    <w:rPr>
      <w:rFonts w:eastAsiaTheme="minorEastAsia"/>
      <w:color w:val="5A5A5A" w:themeColor="text1" w:themeTint="A5"/>
      <w:spacing w:val="15"/>
      <w:lang w:val="en-GB"/>
    </w:rPr>
  </w:style>
  <w:style w:type="character" w:styleId="Subtielebenadrukking">
    <w:name w:val="Subtle Emphasis"/>
    <w:basedOn w:val="Standaardalinea-lettertype"/>
    <w:uiPriority w:val="19"/>
    <w:qFormat/>
    <w:rsid w:val="003D0EC7"/>
    <w:rPr>
      <w:i/>
      <w:iCs/>
      <w:color w:val="404040" w:themeColor="text1" w:themeTint="BF"/>
    </w:rPr>
  </w:style>
  <w:style w:type="paragraph" w:styleId="Koptekst">
    <w:name w:val="header"/>
    <w:basedOn w:val="Standaard"/>
    <w:link w:val="KoptekstChar"/>
    <w:uiPriority w:val="99"/>
    <w:semiHidden/>
    <w:unhideWhenUsed/>
    <w:pPr>
      <w:tabs>
        <w:tab w:val="center" w:pos="4535"/>
        <w:tab w:val="right" w:pos="9071"/>
      </w:tabs>
      <w:spacing w:before="0"/>
    </w:pPr>
  </w:style>
  <w:style w:type="character" w:customStyle="1" w:styleId="KoptekstChar">
    <w:name w:val="Koptekst Char"/>
    <w:basedOn w:val="Standaardalinea-lettertype"/>
    <w:link w:val="Koptekst"/>
    <w:uiPriority w:val="99"/>
    <w:semiHidden/>
    <w:rPr>
      <w:rFonts w:ascii="Times New Roman" w:hAnsi="Times New Roman" w:cs="Times New Roman"/>
      <w:sz w:val="24"/>
      <w:shd w:val="clear" w:color="auto" w:fill="auto"/>
      <w:lang w:val="en-GB"/>
    </w:rPr>
  </w:style>
  <w:style w:type="paragraph" w:styleId="Voettekst">
    <w:name w:val="footer"/>
    <w:basedOn w:val="Standaard"/>
    <w:link w:val="VoettekstChar"/>
    <w:uiPriority w:val="99"/>
    <w:semiHidden/>
    <w:unhideWhenUsed/>
    <w:pPr>
      <w:tabs>
        <w:tab w:val="center" w:pos="4535"/>
        <w:tab w:val="right" w:pos="9071"/>
        <w:tab w:val="right" w:pos="9921"/>
      </w:tabs>
      <w:spacing w:before="360" w:after="0"/>
      <w:ind w:left="-850" w:right="-850"/>
      <w:jc w:val="left"/>
    </w:pPr>
  </w:style>
  <w:style w:type="character" w:customStyle="1" w:styleId="VoettekstChar">
    <w:name w:val="Voettekst Char"/>
    <w:basedOn w:val="Standaardalinea-lettertype"/>
    <w:link w:val="Voettekst"/>
    <w:uiPriority w:val="99"/>
    <w:semiHidden/>
    <w:rPr>
      <w:rFonts w:ascii="Times New Roman" w:hAnsi="Times New Roman" w:cs="Times New Roman"/>
      <w:sz w:val="24"/>
      <w:shd w:val="clear" w:color="auto" w:fill="auto"/>
      <w:lang w:val="en-GB"/>
    </w:rPr>
  </w:style>
  <w:style w:type="paragraph" w:styleId="Voetnoottekst">
    <w:name w:val="footnote text"/>
    <w:basedOn w:val="Standaard"/>
    <w:link w:val="VoetnoottekstChar"/>
    <w:uiPriority w:val="99"/>
    <w:semiHidden/>
    <w:unhideWhenUsed/>
    <w:pPr>
      <w:spacing w:before="0" w:after="0"/>
      <w:ind w:left="720" w:hanging="720"/>
    </w:pPr>
    <w:rPr>
      <w:sz w:val="20"/>
      <w:szCs w:val="20"/>
    </w:rPr>
  </w:style>
  <w:style w:type="character" w:customStyle="1" w:styleId="VoetnoottekstChar">
    <w:name w:val="Voetnoottekst Char"/>
    <w:basedOn w:val="Standaardalinea-lettertype"/>
    <w:link w:val="Voetnoottekst"/>
    <w:uiPriority w:val="99"/>
    <w:semiHidden/>
    <w:rPr>
      <w:rFonts w:ascii="Times New Roman" w:hAnsi="Times New Roman" w:cs="Times New Roman"/>
      <w:sz w:val="20"/>
      <w:szCs w:val="20"/>
      <w:shd w:val="clear" w:color="auto" w:fill="auto"/>
      <w:lang w:val="en-GB"/>
    </w:rPr>
  </w:style>
  <w:style w:type="character" w:customStyle="1" w:styleId="Kop1Char">
    <w:name w:val="Kop 1 Char"/>
    <w:basedOn w:val="Standaardalinea-lettertype"/>
    <w:link w:val="Kop1"/>
    <w:uiPriority w:val="9"/>
    <w:rPr>
      <w:rFonts w:ascii="Times New Roman" w:eastAsiaTheme="majorEastAsia" w:hAnsi="Times New Roman" w:cs="Times New Roman"/>
      <w:b/>
      <w:bCs/>
      <w:smallCaps/>
      <w:sz w:val="24"/>
      <w:szCs w:val="28"/>
      <w:lang w:val="en-GB"/>
    </w:rPr>
  </w:style>
  <w:style w:type="character" w:customStyle="1" w:styleId="Kop2Char">
    <w:name w:val="Kop 2 Char"/>
    <w:basedOn w:val="Standaardalinea-lettertype"/>
    <w:link w:val="Kop2"/>
    <w:uiPriority w:val="9"/>
    <w:semiHidden/>
    <w:rPr>
      <w:rFonts w:ascii="Times New Roman" w:eastAsiaTheme="majorEastAsia" w:hAnsi="Times New Roman" w:cs="Times New Roman"/>
      <w:b/>
      <w:bCs/>
      <w:sz w:val="24"/>
      <w:szCs w:val="26"/>
      <w:lang w:val="en-GB"/>
    </w:rPr>
  </w:style>
  <w:style w:type="character" w:customStyle="1" w:styleId="Kop3Char">
    <w:name w:val="Kop 3 Char"/>
    <w:basedOn w:val="Standaardalinea-lettertype"/>
    <w:link w:val="Kop3"/>
    <w:uiPriority w:val="9"/>
    <w:semiHidden/>
    <w:rPr>
      <w:rFonts w:ascii="Times New Roman" w:eastAsiaTheme="majorEastAsia" w:hAnsi="Times New Roman" w:cs="Times New Roman"/>
      <w:bCs/>
      <w:i/>
      <w:sz w:val="24"/>
      <w:lang w:val="en-GB"/>
    </w:rPr>
  </w:style>
  <w:style w:type="character" w:customStyle="1" w:styleId="Kop4Char">
    <w:name w:val="Kop 4 Char"/>
    <w:basedOn w:val="Standaardalinea-lettertype"/>
    <w:link w:val="Kop4"/>
    <w:uiPriority w:val="9"/>
    <w:semiHidden/>
    <w:rPr>
      <w:rFonts w:ascii="Times New Roman" w:eastAsiaTheme="majorEastAsia" w:hAnsi="Times New Roman" w:cs="Times New Roman"/>
      <w:bCs/>
      <w:iCs/>
      <w:sz w:val="24"/>
      <w:lang w:val="en-GB"/>
    </w:rPr>
  </w:style>
  <w:style w:type="character" w:customStyle="1" w:styleId="Kop5Char">
    <w:name w:val="Kop 5 Char"/>
    <w:basedOn w:val="Standaardalinea-lettertype"/>
    <w:link w:val="Kop5"/>
    <w:uiPriority w:val="9"/>
    <w:semiHidden/>
    <w:rPr>
      <w:rFonts w:ascii="Times New Roman" w:eastAsiaTheme="majorEastAsia" w:hAnsi="Times New Roman" w:cs="Times New Roman"/>
      <w:sz w:val="24"/>
      <w:lang w:val="en-GB"/>
    </w:rPr>
  </w:style>
  <w:style w:type="character" w:customStyle="1" w:styleId="Kop6Char">
    <w:name w:val="Kop 6 Char"/>
    <w:basedOn w:val="Standaardalinea-lettertype"/>
    <w:link w:val="Kop6"/>
    <w:uiPriority w:val="9"/>
    <w:semiHidden/>
    <w:rPr>
      <w:rFonts w:ascii="Times New Roman" w:eastAsiaTheme="majorEastAsia" w:hAnsi="Times New Roman" w:cs="Times New Roman"/>
      <w:iCs/>
      <w:sz w:val="24"/>
      <w:lang w:val="en-GB"/>
    </w:rPr>
  </w:style>
  <w:style w:type="character" w:customStyle="1" w:styleId="Kop7Char">
    <w:name w:val="Kop 7 Char"/>
    <w:basedOn w:val="Standaardalinea-lettertype"/>
    <w:link w:val="Kop7"/>
    <w:uiPriority w:val="9"/>
    <w:semiHidden/>
    <w:rPr>
      <w:rFonts w:ascii="Times New Roman" w:eastAsiaTheme="majorEastAsia" w:hAnsi="Times New Roman" w:cs="Times New Roman"/>
      <w:iCs/>
      <w:sz w:val="24"/>
      <w:lang w:val="en-GB"/>
    </w:rPr>
  </w:style>
  <w:style w:type="paragraph" w:styleId="Kopvaninhoudsopgave">
    <w:name w:val="TOC Heading"/>
    <w:basedOn w:val="Standaard"/>
    <w:next w:val="Standaard"/>
    <w:uiPriority w:val="39"/>
    <w:semiHidden/>
    <w:unhideWhenUsed/>
    <w:qFormat/>
    <w:pPr>
      <w:spacing w:after="240"/>
      <w:jc w:val="center"/>
    </w:pPr>
    <w:rPr>
      <w:b/>
      <w:sz w:val="28"/>
    </w:rPr>
  </w:style>
  <w:style w:type="paragraph" w:styleId="Inhopg1">
    <w:name w:val="toc 1"/>
    <w:basedOn w:val="Standaard"/>
    <w:next w:val="Standaard"/>
    <w:uiPriority w:val="39"/>
    <w:semiHidden/>
    <w:unhideWhenUsed/>
    <w:pPr>
      <w:tabs>
        <w:tab w:val="right" w:leader="dot" w:pos="9071"/>
      </w:tabs>
      <w:spacing w:before="60"/>
      <w:ind w:left="850" w:hanging="850"/>
      <w:jc w:val="left"/>
    </w:pPr>
  </w:style>
  <w:style w:type="paragraph" w:styleId="Inhopg2">
    <w:name w:val="toc 2"/>
    <w:basedOn w:val="Standaard"/>
    <w:next w:val="Standaard"/>
    <w:uiPriority w:val="39"/>
    <w:semiHidden/>
    <w:unhideWhenUsed/>
    <w:pPr>
      <w:tabs>
        <w:tab w:val="right" w:leader="dot" w:pos="9071"/>
      </w:tabs>
      <w:spacing w:before="60"/>
      <w:ind w:left="850" w:hanging="850"/>
      <w:jc w:val="left"/>
    </w:pPr>
  </w:style>
  <w:style w:type="paragraph" w:styleId="Inhopg3">
    <w:name w:val="toc 3"/>
    <w:basedOn w:val="Standaard"/>
    <w:next w:val="Standaard"/>
    <w:uiPriority w:val="39"/>
    <w:semiHidden/>
    <w:unhideWhenUsed/>
    <w:pPr>
      <w:tabs>
        <w:tab w:val="right" w:leader="dot" w:pos="9071"/>
      </w:tabs>
      <w:spacing w:before="60"/>
      <w:ind w:left="850" w:hanging="850"/>
      <w:jc w:val="left"/>
    </w:pPr>
  </w:style>
  <w:style w:type="paragraph" w:styleId="Inhopg4">
    <w:name w:val="toc 4"/>
    <w:basedOn w:val="Standaard"/>
    <w:next w:val="Standaard"/>
    <w:uiPriority w:val="39"/>
    <w:semiHidden/>
    <w:unhideWhenUsed/>
    <w:pPr>
      <w:tabs>
        <w:tab w:val="right" w:leader="dot" w:pos="9071"/>
      </w:tabs>
      <w:spacing w:before="60"/>
      <w:ind w:left="850" w:hanging="850"/>
      <w:jc w:val="left"/>
    </w:pPr>
  </w:style>
  <w:style w:type="paragraph" w:styleId="Inhopg5">
    <w:name w:val="toc 5"/>
    <w:basedOn w:val="Standaard"/>
    <w:next w:val="Standaard"/>
    <w:uiPriority w:val="39"/>
    <w:semiHidden/>
    <w:unhideWhenUsed/>
    <w:pPr>
      <w:tabs>
        <w:tab w:val="right" w:leader="dot" w:pos="9071"/>
      </w:tabs>
      <w:spacing w:before="300"/>
      <w:jc w:val="left"/>
    </w:pPr>
  </w:style>
  <w:style w:type="paragraph" w:styleId="Inhopg6">
    <w:name w:val="toc 6"/>
    <w:basedOn w:val="Standaard"/>
    <w:next w:val="Standaard"/>
    <w:uiPriority w:val="39"/>
    <w:semiHidden/>
    <w:unhideWhenUsed/>
    <w:pPr>
      <w:tabs>
        <w:tab w:val="right" w:leader="dot" w:pos="9071"/>
      </w:tabs>
      <w:spacing w:before="240"/>
      <w:jc w:val="left"/>
    </w:pPr>
  </w:style>
  <w:style w:type="paragraph" w:styleId="Inhopg7">
    <w:name w:val="toc 7"/>
    <w:basedOn w:val="Standaard"/>
    <w:next w:val="Standaard"/>
    <w:uiPriority w:val="39"/>
    <w:semiHidden/>
    <w:unhideWhenUsed/>
    <w:pPr>
      <w:tabs>
        <w:tab w:val="right" w:leader="dot" w:pos="9071"/>
      </w:tabs>
      <w:spacing w:before="180"/>
      <w:jc w:val="left"/>
    </w:pPr>
  </w:style>
  <w:style w:type="paragraph" w:styleId="Inhopg8">
    <w:name w:val="toc 8"/>
    <w:basedOn w:val="Standaard"/>
    <w:next w:val="Standaard"/>
    <w:uiPriority w:val="39"/>
    <w:semiHidden/>
    <w:unhideWhenUsed/>
    <w:pPr>
      <w:tabs>
        <w:tab w:val="right" w:leader="dot" w:pos="9071"/>
      </w:tabs>
      <w:jc w:val="left"/>
    </w:pPr>
  </w:style>
  <w:style w:type="paragraph" w:styleId="Inhopg9">
    <w:name w:val="toc 9"/>
    <w:basedOn w:val="Standaard"/>
    <w:next w:val="Standaard"/>
    <w:uiPriority w:val="39"/>
    <w:semiHidden/>
    <w:unhideWhenUsed/>
    <w:pPr>
      <w:tabs>
        <w:tab w:val="right" w:leader="dot" w:pos="9071"/>
      </w:tabs>
      <w:ind w:left="1417" w:hanging="1417"/>
      <w:jc w:val="left"/>
    </w:pPr>
  </w:style>
  <w:style w:type="paragraph" w:customStyle="1" w:styleId="HeaderLandscape">
    <w:name w:val="HeaderLandscape"/>
    <w:basedOn w:val="Standaard"/>
    <w:pPr>
      <w:tabs>
        <w:tab w:val="center" w:pos="7285"/>
        <w:tab w:val="right" w:pos="14003"/>
      </w:tabs>
      <w:spacing w:before="0"/>
    </w:pPr>
  </w:style>
  <w:style w:type="paragraph" w:customStyle="1" w:styleId="FooterLandscape">
    <w:name w:val="FooterLandscape"/>
    <w:basedOn w:val="Standaard"/>
    <w:pPr>
      <w:tabs>
        <w:tab w:val="center" w:pos="7285"/>
        <w:tab w:val="center" w:pos="10913"/>
        <w:tab w:val="right" w:pos="15137"/>
      </w:tabs>
      <w:spacing w:before="360" w:after="0"/>
      <w:ind w:left="-567" w:right="-567"/>
      <w:jc w:val="left"/>
    </w:pPr>
  </w:style>
  <w:style w:type="character" w:styleId="Voetnootmarkering">
    <w:name w:val="footnote reference"/>
    <w:basedOn w:val="Standaardalinea-lettertype"/>
    <w:uiPriority w:val="99"/>
    <w:semiHidden/>
    <w:unhideWhenUsed/>
    <w:rPr>
      <w:shd w:val="clear" w:color="auto" w:fill="auto"/>
      <w:vertAlign w:val="superscript"/>
    </w:rPr>
  </w:style>
  <w:style w:type="paragraph" w:customStyle="1" w:styleId="HeaderSensitivity">
    <w:name w:val="Header Sensitivity"/>
    <w:basedOn w:val="Standaar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Standaard"/>
    <w:pPr>
      <w:spacing w:before="0"/>
      <w:jc w:val="right"/>
    </w:pPr>
    <w:rPr>
      <w:sz w:val="28"/>
    </w:rPr>
  </w:style>
  <w:style w:type="paragraph" w:customStyle="1" w:styleId="FooterSensitivity">
    <w:name w:val="Footer Sensitivity"/>
    <w:basedOn w:val="Standaar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Standaard"/>
    <w:pPr>
      <w:ind w:left="850"/>
    </w:pPr>
  </w:style>
  <w:style w:type="paragraph" w:customStyle="1" w:styleId="Text2">
    <w:name w:val="Text 2"/>
    <w:basedOn w:val="Standaard"/>
    <w:pPr>
      <w:ind w:left="1417"/>
    </w:pPr>
  </w:style>
  <w:style w:type="paragraph" w:customStyle="1" w:styleId="Text3">
    <w:name w:val="Text 3"/>
    <w:basedOn w:val="Standaard"/>
    <w:pPr>
      <w:ind w:left="1984"/>
    </w:pPr>
  </w:style>
  <w:style w:type="paragraph" w:customStyle="1" w:styleId="Text4">
    <w:name w:val="Text 4"/>
    <w:basedOn w:val="Standaard"/>
    <w:pPr>
      <w:ind w:left="2551"/>
    </w:pPr>
  </w:style>
  <w:style w:type="paragraph" w:customStyle="1" w:styleId="Text5">
    <w:name w:val="Text 5"/>
    <w:basedOn w:val="Standaard"/>
    <w:pPr>
      <w:ind w:left="3118"/>
    </w:pPr>
  </w:style>
  <w:style w:type="paragraph" w:customStyle="1" w:styleId="Text6">
    <w:name w:val="Text 6"/>
    <w:basedOn w:val="Standaard"/>
    <w:pPr>
      <w:ind w:left="3685"/>
    </w:pPr>
  </w:style>
  <w:style w:type="paragraph" w:customStyle="1" w:styleId="NormalCentered">
    <w:name w:val="Normal Centered"/>
    <w:basedOn w:val="Standaard"/>
    <w:pPr>
      <w:jc w:val="center"/>
    </w:pPr>
  </w:style>
  <w:style w:type="paragraph" w:customStyle="1" w:styleId="NormalLeft">
    <w:name w:val="Normal Left"/>
    <w:basedOn w:val="Standaard"/>
    <w:pPr>
      <w:jc w:val="left"/>
    </w:pPr>
  </w:style>
  <w:style w:type="paragraph" w:customStyle="1" w:styleId="NormalRight">
    <w:name w:val="Normal Right"/>
    <w:basedOn w:val="Standaard"/>
    <w:pPr>
      <w:jc w:val="right"/>
    </w:pPr>
  </w:style>
  <w:style w:type="paragraph" w:customStyle="1" w:styleId="QuotedText">
    <w:name w:val="Quoted Text"/>
    <w:basedOn w:val="Standaard"/>
    <w:pPr>
      <w:ind w:left="1417"/>
    </w:pPr>
  </w:style>
  <w:style w:type="paragraph" w:customStyle="1" w:styleId="Point0">
    <w:name w:val="Point 0"/>
    <w:basedOn w:val="Standaard"/>
    <w:pPr>
      <w:ind w:left="850" w:hanging="850"/>
    </w:pPr>
  </w:style>
  <w:style w:type="paragraph" w:customStyle="1" w:styleId="Point1">
    <w:name w:val="Point 1"/>
    <w:basedOn w:val="Standaard"/>
    <w:pPr>
      <w:ind w:left="1417" w:hanging="567"/>
    </w:pPr>
  </w:style>
  <w:style w:type="paragraph" w:customStyle="1" w:styleId="Point2">
    <w:name w:val="Point 2"/>
    <w:basedOn w:val="Standaard"/>
    <w:pPr>
      <w:ind w:left="1984" w:hanging="567"/>
    </w:pPr>
  </w:style>
  <w:style w:type="paragraph" w:customStyle="1" w:styleId="Point3">
    <w:name w:val="Point 3"/>
    <w:basedOn w:val="Standaard"/>
    <w:pPr>
      <w:ind w:left="2551" w:hanging="567"/>
    </w:pPr>
  </w:style>
  <w:style w:type="paragraph" w:customStyle="1" w:styleId="Point4">
    <w:name w:val="Point 4"/>
    <w:basedOn w:val="Standaard"/>
    <w:pPr>
      <w:ind w:left="3118" w:hanging="567"/>
    </w:pPr>
  </w:style>
  <w:style w:type="paragraph" w:customStyle="1" w:styleId="Point5">
    <w:name w:val="Point 5"/>
    <w:basedOn w:val="Standaard"/>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Standaard"/>
    <w:pPr>
      <w:tabs>
        <w:tab w:val="left" w:pos="850"/>
      </w:tabs>
      <w:ind w:left="1417" w:hanging="1417"/>
    </w:pPr>
  </w:style>
  <w:style w:type="paragraph" w:customStyle="1" w:styleId="PointDouble1">
    <w:name w:val="PointDouble 1"/>
    <w:basedOn w:val="Standaard"/>
    <w:pPr>
      <w:tabs>
        <w:tab w:val="left" w:pos="1417"/>
      </w:tabs>
      <w:ind w:left="1984" w:hanging="1134"/>
    </w:pPr>
  </w:style>
  <w:style w:type="paragraph" w:customStyle="1" w:styleId="PointDouble2">
    <w:name w:val="PointDouble 2"/>
    <w:basedOn w:val="Standaard"/>
    <w:pPr>
      <w:tabs>
        <w:tab w:val="left" w:pos="1984"/>
      </w:tabs>
      <w:ind w:left="2551" w:hanging="1134"/>
    </w:pPr>
  </w:style>
  <w:style w:type="paragraph" w:customStyle="1" w:styleId="PointDouble3">
    <w:name w:val="PointDouble 3"/>
    <w:basedOn w:val="Standaard"/>
    <w:pPr>
      <w:tabs>
        <w:tab w:val="left" w:pos="2551"/>
      </w:tabs>
      <w:ind w:left="3118" w:hanging="1134"/>
    </w:pPr>
  </w:style>
  <w:style w:type="paragraph" w:customStyle="1" w:styleId="PointDouble4">
    <w:name w:val="PointDouble 4"/>
    <w:basedOn w:val="Standaard"/>
    <w:pPr>
      <w:tabs>
        <w:tab w:val="left" w:pos="3118"/>
      </w:tabs>
      <w:ind w:left="3685" w:hanging="1134"/>
    </w:pPr>
  </w:style>
  <w:style w:type="paragraph" w:customStyle="1" w:styleId="PointTriple0">
    <w:name w:val="PointTriple 0"/>
    <w:basedOn w:val="Standaard"/>
    <w:pPr>
      <w:tabs>
        <w:tab w:val="left" w:pos="850"/>
        <w:tab w:val="left" w:pos="1417"/>
      </w:tabs>
      <w:ind w:left="1984" w:hanging="1984"/>
    </w:pPr>
  </w:style>
  <w:style w:type="paragraph" w:customStyle="1" w:styleId="PointTriple1">
    <w:name w:val="PointTriple 1"/>
    <w:basedOn w:val="Standaard"/>
    <w:pPr>
      <w:tabs>
        <w:tab w:val="left" w:pos="1417"/>
        <w:tab w:val="left" w:pos="1984"/>
      </w:tabs>
      <w:ind w:left="2551" w:hanging="1701"/>
    </w:pPr>
  </w:style>
  <w:style w:type="paragraph" w:customStyle="1" w:styleId="PointTriple2">
    <w:name w:val="PointTriple 2"/>
    <w:basedOn w:val="Standaard"/>
    <w:pPr>
      <w:tabs>
        <w:tab w:val="left" w:pos="1984"/>
        <w:tab w:val="left" w:pos="2551"/>
      </w:tabs>
      <w:ind w:left="3118" w:hanging="1701"/>
    </w:pPr>
  </w:style>
  <w:style w:type="paragraph" w:customStyle="1" w:styleId="PointTriple3">
    <w:name w:val="PointTriple 3"/>
    <w:basedOn w:val="Standaard"/>
    <w:pPr>
      <w:tabs>
        <w:tab w:val="left" w:pos="2551"/>
        <w:tab w:val="left" w:pos="3118"/>
      </w:tabs>
      <w:ind w:left="3685" w:hanging="1701"/>
    </w:pPr>
  </w:style>
  <w:style w:type="paragraph" w:customStyle="1" w:styleId="PointTriple4">
    <w:name w:val="PointTriple 4"/>
    <w:basedOn w:val="Standaard"/>
    <w:pPr>
      <w:tabs>
        <w:tab w:val="left" w:pos="3118"/>
        <w:tab w:val="left" w:pos="3685"/>
      </w:tabs>
      <w:ind w:left="4252" w:hanging="1701"/>
    </w:pPr>
  </w:style>
  <w:style w:type="paragraph" w:customStyle="1" w:styleId="NumPar1">
    <w:name w:val="NumPar 1"/>
    <w:basedOn w:val="Standaard"/>
    <w:next w:val="Text1"/>
    <w:pPr>
      <w:numPr>
        <w:numId w:val="30"/>
      </w:numPr>
    </w:pPr>
  </w:style>
  <w:style w:type="paragraph" w:customStyle="1" w:styleId="NumPar2">
    <w:name w:val="NumPar 2"/>
    <w:basedOn w:val="Standaard"/>
    <w:next w:val="Text1"/>
    <w:pPr>
      <w:numPr>
        <w:ilvl w:val="1"/>
        <w:numId w:val="30"/>
      </w:numPr>
    </w:pPr>
  </w:style>
  <w:style w:type="paragraph" w:customStyle="1" w:styleId="NumPar3">
    <w:name w:val="NumPar 3"/>
    <w:basedOn w:val="Standaard"/>
    <w:next w:val="Text1"/>
    <w:pPr>
      <w:numPr>
        <w:ilvl w:val="2"/>
        <w:numId w:val="30"/>
      </w:numPr>
    </w:pPr>
  </w:style>
  <w:style w:type="paragraph" w:customStyle="1" w:styleId="NumPar4">
    <w:name w:val="NumPar 4"/>
    <w:basedOn w:val="Standaard"/>
    <w:next w:val="Text1"/>
    <w:pPr>
      <w:numPr>
        <w:ilvl w:val="3"/>
        <w:numId w:val="30"/>
      </w:numPr>
    </w:pPr>
  </w:style>
  <w:style w:type="paragraph" w:customStyle="1" w:styleId="NumPar5">
    <w:name w:val="NumPar 5"/>
    <w:basedOn w:val="Standaard"/>
    <w:next w:val="Text2"/>
    <w:pPr>
      <w:numPr>
        <w:ilvl w:val="4"/>
        <w:numId w:val="30"/>
      </w:numPr>
    </w:pPr>
  </w:style>
  <w:style w:type="paragraph" w:customStyle="1" w:styleId="NumPar6">
    <w:name w:val="NumPar 6"/>
    <w:basedOn w:val="Standaard"/>
    <w:next w:val="Text2"/>
    <w:pPr>
      <w:numPr>
        <w:ilvl w:val="5"/>
        <w:numId w:val="30"/>
      </w:numPr>
    </w:pPr>
  </w:style>
  <w:style w:type="paragraph" w:customStyle="1" w:styleId="NumPar7">
    <w:name w:val="NumPar 7"/>
    <w:basedOn w:val="Standaard"/>
    <w:next w:val="Text2"/>
    <w:pPr>
      <w:numPr>
        <w:ilvl w:val="6"/>
        <w:numId w:val="30"/>
      </w:numPr>
    </w:pPr>
  </w:style>
  <w:style w:type="paragraph" w:customStyle="1" w:styleId="ManualNumPar1">
    <w:name w:val="Manual NumPar 1"/>
    <w:basedOn w:val="Standaard"/>
    <w:next w:val="Text1"/>
    <w:pPr>
      <w:ind w:left="850" w:hanging="850"/>
    </w:pPr>
  </w:style>
  <w:style w:type="paragraph" w:customStyle="1" w:styleId="ManualNumPar2">
    <w:name w:val="Manual NumPar 2"/>
    <w:basedOn w:val="Standaard"/>
    <w:next w:val="Text1"/>
    <w:pPr>
      <w:ind w:left="850" w:hanging="850"/>
    </w:pPr>
  </w:style>
  <w:style w:type="paragraph" w:customStyle="1" w:styleId="ManualNumPar3">
    <w:name w:val="Manual NumPar 3"/>
    <w:basedOn w:val="Standaard"/>
    <w:next w:val="Text1"/>
    <w:pPr>
      <w:ind w:left="850" w:hanging="850"/>
    </w:pPr>
  </w:style>
  <w:style w:type="paragraph" w:customStyle="1" w:styleId="ManualNumPar4">
    <w:name w:val="Manual NumPar 4"/>
    <w:basedOn w:val="Standaard"/>
    <w:next w:val="Text1"/>
    <w:pPr>
      <w:ind w:left="850" w:hanging="850"/>
    </w:pPr>
  </w:style>
  <w:style w:type="paragraph" w:customStyle="1" w:styleId="ManualNumPar5">
    <w:name w:val="Manual NumPar 5"/>
    <w:basedOn w:val="Standaard"/>
    <w:next w:val="Text2"/>
    <w:pPr>
      <w:ind w:left="1417" w:hanging="1417"/>
    </w:pPr>
  </w:style>
  <w:style w:type="paragraph" w:customStyle="1" w:styleId="ManualNumPar6">
    <w:name w:val="Manual NumPar 6"/>
    <w:basedOn w:val="Standaard"/>
    <w:next w:val="Text2"/>
    <w:pPr>
      <w:ind w:left="1417" w:hanging="1417"/>
    </w:pPr>
  </w:style>
  <w:style w:type="paragraph" w:customStyle="1" w:styleId="ManualNumPar7">
    <w:name w:val="Manual NumPar 7"/>
    <w:basedOn w:val="Standaard"/>
    <w:next w:val="Text2"/>
    <w:pPr>
      <w:ind w:left="1417" w:hanging="1417"/>
    </w:pPr>
  </w:style>
  <w:style w:type="paragraph" w:customStyle="1" w:styleId="QuotedNumPar">
    <w:name w:val="Quoted NumPar"/>
    <w:basedOn w:val="Standaard"/>
    <w:pPr>
      <w:ind w:left="1417" w:hanging="567"/>
    </w:pPr>
  </w:style>
  <w:style w:type="paragraph" w:customStyle="1" w:styleId="ManualHeading1">
    <w:name w:val="Manual Heading 1"/>
    <w:basedOn w:val="Standaard"/>
    <w:next w:val="Text1"/>
    <w:pPr>
      <w:keepNext/>
      <w:tabs>
        <w:tab w:val="left" w:pos="850"/>
      </w:tabs>
      <w:spacing w:before="360"/>
      <w:ind w:left="850" w:hanging="850"/>
      <w:outlineLvl w:val="0"/>
    </w:pPr>
    <w:rPr>
      <w:b/>
      <w:smallCaps/>
    </w:rPr>
  </w:style>
  <w:style w:type="paragraph" w:customStyle="1" w:styleId="ManualHeading2">
    <w:name w:val="Manual Heading 2"/>
    <w:basedOn w:val="Standaard"/>
    <w:next w:val="Text1"/>
    <w:pPr>
      <w:keepNext/>
      <w:tabs>
        <w:tab w:val="left" w:pos="850"/>
      </w:tabs>
      <w:ind w:left="850" w:hanging="850"/>
      <w:outlineLvl w:val="1"/>
    </w:pPr>
    <w:rPr>
      <w:b/>
    </w:rPr>
  </w:style>
  <w:style w:type="paragraph" w:customStyle="1" w:styleId="ManualHeading3">
    <w:name w:val="Manual Heading 3"/>
    <w:basedOn w:val="Standaard"/>
    <w:next w:val="Text1"/>
    <w:pPr>
      <w:keepNext/>
      <w:tabs>
        <w:tab w:val="left" w:pos="850"/>
      </w:tabs>
      <w:ind w:left="850" w:hanging="850"/>
      <w:outlineLvl w:val="2"/>
    </w:pPr>
    <w:rPr>
      <w:i/>
    </w:rPr>
  </w:style>
  <w:style w:type="paragraph" w:customStyle="1" w:styleId="ManualHeading4">
    <w:name w:val="Manual Heading 4"/>
    <w:basedOn w:val="Standaard"/>
    <w:next w:val="Text1"/>
    <w:pPr>
      <w:keepNext/>
      <w:tabs>
        <w:tab w:val="left" w:pos="850"/>
      </w:tabs>
      <w:ind w:left="850" w:hanging="850"/>
      <w:outlineLvl w:val="3"/>
    </w:pPr>
  </w:style>
  <w:style w:type="paragraph" w:customStyle="1" w:styleId="ManualHeading5">
    <w:name w:val="Manual Heading 5"/>
    <w:basedOn w:val="Standaard"/>
    <w:next w:val="Text2"/>
    <w:pPr>
      <w:keepNext/>
      <w:tabs>
        <w:tab w:val="left" w:pos="1417"/>
      </w:tabs>
      <w:ind w:left="1417" w:hanging="1417"/>
      <w:outlineLvl w:val="4"/>
    </w:pPr>
  </w:style>
  <w:style w:type="paragraph" w:customStyle="1" w:styleId="ManualHeading6">
    <w:name w:val="Manual Heading 6"/>
    <w:basedOn w:val="Standaard"/>
    <w:next w:val="Text2"/>
    <w:pPr>
      <w:keepNext/>
      <w:tabs>
        <w:tab w:val="left" w:pos="1417"/>
      </w:tabs>
      <w:ind w:left="1417" w:hanging="1417"/>
      <w:outlineLvl w:val="5"/>
    </w:pPr>
  </w:style>
  <w:style w:type="paragraph" w:customStyle="1" w:styleId="ManualHeading7">
    <w:name w:val="Manual Heading 7"/>
    <w:basedOn w:val="Standaard"/>
    <w:next w:val="Text2"/>
    <w:pPr>
      <w:keepNext/>
      <w:tabs>
        <w:tab w:val="left" w:pos="1417"/>
      </w:tabs>
      <w:ind w:left="1417" w:hanging="1417"/>
      <w:outlineLvl w:val="6"/>
    </w:pPr>
  </w:style>
  <w:style w:type="paragraph" w:customStyle="1" w:styleId="ChapterTitle">
    <w:name w:val="ChapterTitle"/>
    <w:basedOn w:val="Standaard"/>
    <w:next w:val="Standaard"/>
    <w:pPr>
      <w:keepNext/>
      <w:spacing w:after="360"/>
      <w:jc w:val="center"/>
    </w:pPr>
    <w:rPr>
      <w:b/>
      <w:sz w:val="32"/>
    </w:rPr>
  </w:style>
  <w:style w:type="paragraph" w:customStyle="1" w:styleId="PartTitle">
    <w:name w:val="PartTitle"/>
    <w:basedOn w:val="Standaard"/>
    <w:next w:val="ChapterTitle"/>
    <w:pPr>
      <w:keepNext/>
      <w:pageBreakBefore/>
      <w:spacing w:after="360"/>
      <w:jc w:val="center"/>
    </w:pPr>
    <w:rPr>
      <w:b/>
      <w:sz w:val="36"/>
    </w:rPr>
  </w:style>
  <w:style w:type="paragraph" w:customStyle="1" w:styleId="SectionTitle">
    <w:name w:val="SectionTitle"/>
    <w:basedOn w:val="Standaard"/>
    <w:next w:val="Kop1"/>
    <w:pPr>
      <w:keepNext/>
      <w:spacing w:after="360"/>
      <w:jc w:val="center"/>
    </w:pPr>
    <w:rPr>
      <w:b/>
      <w:smallCaps/>
      <w:sz w:val="28"/>
    </w:rPr>
  </w:style>
  <w:style w:type="paragraph" w:customStyle="1" w:styleId="TableTitle">
    <w:name w:val="Table Title"/>
    <w:basedOn w:val="Standaard"/>
    <w:next w:val="Standaard"/>
    <w:pPr>
      <w:jc w:val="center"/>
    </w:pPr>
    <w:rPr>
      <w:b/>
    </w:rPr>
  </w:style>
  <w:style w:type="character" w:customStyle="1" w:styleId="Marker">
    <w:name w:val="Marker"/>
    <w:basedOn w:val="Standaardalinea-lettertype"/>
    <w:rPr>
      <w:color w:val="0000FF"/>
      <w:shd w:val="clear" w:color="auto" w:fill="auto"/>
    </w:rPr>
  </w:style>
  <w:style w:type="character" w:customStyle="1" w:styleId="Marker1">
    <w:name w:val="Marker1"/>
    <w:basedOn w:val="Standaardalinea-lettertype"/>
    <w:rPr>
      <w:color w:val="008000"/>
      <w:shd w:val="clear" w:color="auto" w:fill="auto"/>
    </w:rPr>
  </w:style>
  <w:style w:type="character" w:customStyle="1" w:styleId="Marker2">
    <w:name w:val="Marker2"/>
    <w:basedOn w:val="Standaardalinea-lettertype"/>
    <w:rPr>
      <w:color w:val="FF0000"/>
      <w:shd w:val="clear" w:color="auto" w:fill="auto"/>
    </w:rPr>
  </w:style>
  <w:style w:type="paragraph" w:customStyle="1" w:styleId="Point0number">
    <w:name w:val="Point 0 (number)"/>
    <w:basedOn w:val="Standaard"/>
    <w:pPr>
      <w:numPr>
        <w:numId w:val="32"/>
      </w:numPr>
    </w:pPr>
  </w:style>
  <w:style w:type="paragraph" w:customStyle="1" w:styleId="Point1number">
    <w:name w:val="Point 1 (number)"/>
    <w:basedOn w:val="Standaard"/>
    <w:pPr>
      <w:numPr>
        <w:ilvl w:val="2"/>
        <w:numId w:val="32"/>
      </w:numPr>
    </w:pPr>
  </w:style>
  <w:style w:type="paragraph" w:customStyle="1" w:styleId="Point2number">
    <w:name w:val="Point 2 (number)"/>
    <w:basedOn w:val="Standaard"/>
    <w:pPr>
      <w:numPr>
        <w:ilvl w:val="4"/>
        <w:numId w:val="32"/>
      </w:numPr>
    </w:pPr>
  </w:style>
  <w:style w:type="paragraph" w:customStyle="1" w:styleId="Point3number">
    <w:name w:val="Point 3 (number)"/>
    <w:basedOn w:val="Standaard"/>
    <w:pPr>
      <w:numPr>
        <w:ilvl w:val="6"/>
        <w:numId w:val="32"/>
      </w:numPr>
    </w:pPr>
  </w:style>
  <w:style w:type="paragraph" w:customStyle="1" w:styleId="Point0letter">
    <w:name w:val="Point 0 (letter)"/>
    <w:basedOn w:val="Standaard"/>
    <w:pPr>
      <w:numPr>
        <w:ilvl w:val="1"/>
        <w:numId w:val="32"/>
      </w:numPr>
    </w:pPr>
  </w:style>
  <w:style w:type="paragraph" w:customStyle="1" w:styleId="Point1letter">
    <w:name w:val="Point 1 (letter)"/>
    <w:basedOn w:val="Standaard"/>
    <w:pPr>
      <w:numPr>
        <w:ilvl w:val="3"/>
        <w:numId w:val="32"/>
      </w:numPr>
    </w:pPr>
  </w:style>
  <w:style w:type="paragraph" w:customStyle="1" w:styleId="Point2letter">
    <w:name w:val="Point 2 (letter)"/>
    <w:basedOn w:val="Standaard"/>
    <w:pPr>
      <w:numPr>
        <w:ilvl w:val="5"/>
        <w:numId w:val="32"/>
      </w:numPr>
    </w:pPr>
  </w:style>
  <w:style w:type="paragraph" w:customStyle="1" w:styleId="Point3letter">
    <w:name w:val="Point 3 (letter)"/>
    <w:basedOn w:val="Standaard"/>
    <w:pPr>
      <w:numPr>
        <w:ilvl w:val="7"/>
        <w:numId w:val="32"/>
      </w:numPr>
    </w:pPr>
  </w:style>
  <w:style w:type="paragraph" w:customStyle="1" w:styleId="Point4letter">
    <w:name w:val="Point 4 (letter)"/>
    <w:basedOn w:val="Standaard"/>
    <w:pPr>
      <w:numPr>
        <w:ilvl w:val="8"/>
        <w:numId w:val="32"/>
      </w:numPr>
    </w:pPr>
  </w:style>
  <w:style w:type="paragraph" w:customStyle="1" w:styleId="Bullet0">
    <w:name w:val="Bullet 0"/>
    <w:basedOn w:val="Standaard"/>
    <w:pPr>
      <w:numPr>
        <w:numId w:val="33"/>
      </w:numPr>
    </w:pPr>
  </w:style>
  <w:style w:type="paragraph" w:customStyle="1" w:styleId="Bullet1">
    <w:name w:val="Bullet 1"/>
    <w:basedOn w:val="Standaard"/>
    <w:pPr>
      <w:numPr>
        <w:numId w:val="34"/>
      </w:numPr>
    </w:pPr>
  </w:style>
  <w:style w:type="paragraph" w:customStyle="1" w:styleId="Bullet2">
    <w:name w:val="Bullet 2"/>
    <w:basedOn w:val="Standaard"/>
    <w:pPr>
      <w:numPr>
        <w:numId w:val="35"/>
      </w:numPr>
    </w:pPr>
  </w:style>
  <w:style w:type="paragraph" w:customStyle="1" w:styleId="Bullet3">
    <w:name w:val="Bullet 3"/>
    <w:basedOn w:val="Standaard"/>
    <w:pPr>
      <w:numPr>
        <w:numId w:val="36"/>
      </w:numPr>
    </w:pPr>
  </w:style>
  <w:style w:type="paragraph" w:customStyle="1" w:styleId="Bullet4">
    <w:name w:val="Bullet 4"/>
    <w:basedOn w:val="Standaard"/>
    <w:pPr>
      <w:numPr>
        <w:numId w:val="37"/>
      </w:numPr>
    </w:pPr>
  </w:style>
  <w:style w:type="paragraph" w:customStyle="1" w:styleId="Langue">
    <w:name w:val="Langue"/>
    <w:basedOn w:val="Standaard"/>
    <w:next w:val="Rfrenceinterne"/>
    <w:pPr>
      <w:framePr w:wrap="around" w:vAnchor="page" w:hAnchor="text" w:xAlign="center" w:y="14741"/>
      <w:spacing w:before="0" w:after="600"/>
      <w:jc w:val="center"/>
    </w:pPr>
    <w:rPr>
      <w:b/>
      <w:caps/>
    </w:rPr>
  </w:style>
  <w:style w:type="paragraph" w:customStyle="1" w:styleId="Nomdelinstitution">
    <w:name w:val="Nom de l'institution"/>
    <w:basedOn w:val="Standaard"/>
    <w:next w:val="Emission"/>
    <w:pPr>
      <w:spacing w:before="0" w:after="0"/>
      <w:jc w:val="left"/>
    </w:pPr>
    <w:rPr>
      <w:rFonts w:ascii="Arial" w:hAnsi="Arial" w:cs="Arial"/>
    </w:rPr>
  </w:style>
  <w:style w:type="paragraph" w:customStyle="1" w:styleId="Emission">
    <w:name w:val="Emission"/>
    <w:basedOn w:val="Standaard"/>
    <w:next w:val="Rfrenceinstitutionnelle"/>
    <w:pPr>
      <w:spacing w:before="0" w:after="0"/>
      <w:ind w:left="5103"/>
      <w:jc w:val="left"/>
    </w:pPr>
  </w:style>
  <w:style w:type="paragraph" w:customStyle="1" w:styleId="Rfrenceinstitutionnelle">
    <w:name w:val="Référence institutionnelle"/>
    <w:basedOn w:val="Standaard"/>
    <w:next w:val="Confidentialit"/>
    <w:pPr>
      <w:spacing w:before="0" w:after="240"/>
      <w:ind w:left="5103"/>
      <w:jc w:val="left"/>
    </w:pPr>
  </w:style>
  <w:style w:type="paragraph" w:customStyle="1" w:styleId="Pagedecouverture">
    <w:name w:val="Page de couverture"/>
    <w:basedOn w:val="Standaard"/>
    <w:next w:val="Standaard"/>
    <w:pPr>
      <w:spacing w:before="0" w:after="0"/>
    </w:pPr>
  </w:style>
  <w:style w:type="paragraph" w:customStyle="1" w:styleId="Declassification">
    <w:name w:val="Declassification"/>
    <w:basedOn w:val="Standaard"/>
    <w:next w:val="Standaard"/>
    <w:pPr>
      <w:spacing w:before="0" w:after="0"/>
    </w:pPr>
  </w:style>
  <w:style w:type="paragraph" w:customStyle="1" w:styleId="Disclaimer">
    <w:name w:val="Disclaimer"/>
    <w:basedOn w:val="Standaar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Standaard"/>
    <w:pPr>
      <w:spacing w:before="0" w:after="0" w:line="276" w:lineRule="auto"/>
      <w:ind w:left="5103"/>
      <w:jc w:val="left"/>
    </w:pPr>
    <w:rPr>
      <w:sz w:val="28"/>
    </w:rPr>
  </w:style>
  <w:style w:type="paragraph" w:customStyle="1" w:styleId="DateMarking">
    <w:name w:val="DateMarking"/>
    <w:basedOn w:val="Standaard"/>
    <w:pPr>
      <w:spacing w:before="0" w:after="0" w:line="276" w:lineRule="auto"/>
      <w:ind w:left="5103"/>
      <w:jc w:val="left"/>
    </w:pPr>
    <w:rPr>
      <w:i/>
      <w:sz w:val="28"/>
    </w:rPr>
  </w:style>
  <w:style w:type="paragraph" w:customStyle="1" w:styleId="ReleasableTo">
    <w:name w:val="ReleasableTo"/>
    <w:basedOn w:val="Standaard"/>
    <w:pPr>
      <w:spacing w:before="0" w:after="0" w:line="276" w:lineRule="auto"/>
      <w:ind w:left="5103"/>
      <w:jc w:val="left"/>
    </w:pPr>
    <w:rPr>
      <w:i/>
      <w:sz w:val="28"/>
    </w:rPr>
  </w:style>
  <w:style w:type="paragraph" w:customStyle="1" w:styleId="Annexetitreexpos">
    <w:name w:val="Annexe titre (exposé)"/>
    <w:basedOn w:val="Standaard"/>
    <w:next w:val="Standaard"/>
    <w:pPr>
      <w:jc w:val="center"/>
    </w:pPr>
    <w:rPr>
      <w:b/>
      <w:u w:val="single"/>
    </w:rPr>
  </w:style>
  <w:style w:type="paragraph" w:customStyle="1" w:styleId="Annexetitre">
    <w:name w:val="Annexe titre"/>
    <w:basedOn w:val="Standaard"/>
    <w:next w:val="Standaard"/>
    <w:pPr>
      <w:jc w:val="center"/>
    </w:pPr>
    <w:rPr>
      <w:b/>
      <w:u w:val="single"/>
    </w:rPr>
  </w:style>
  <w:style w:type="paragraph" w:customStyle="1" w:styleId="Annexetitrefichefinancire">
    <w:name w:val="Annexe titre (fiche financière)"/>
    <w:basedOn w:val="Standaard"/>
    <w:next w:val="Standaard"/>
    <w:pPr>
      <w:jc w:val="center"/>
    </w:pPr>
    <w:rPr>
      <w:b/>
      <w:u w:val="single"/>
    </w:rPr>
  </w:style>
  <w:style w:type="paragraph" w:customStyle="1" w:styleId="Applicationdirecte">
    <w:name w:val="Application directe"/>
    <w:basedOn w:val="Standaard"/>
    <w:next w:val="Fait"/>
    <w:pPr>
      <w:spacing w:before="480"/>
    </w:pPr>
  </w:style>
  <w:style w:type="paragraph" w:customStyle="1" w:styleId="Avertissementtitre">
    <w:name w:val="Avertissement titre"/>
    <w:basedOn w:val="Standaard"/>
    <w:next w:val="Standaard"/>
    <w:pPr>
      <w:keepNext/>
      <w:spacing w:before="480"/>
    </w:pPr>
    <w:rPr>
      <w:u w:val="single"/>
    </w:rPr>
  </w:style>
  <w:style w:type="paragraph" w:customStyle="1" w:styleId="Confidence">
    <w:name w:val="Confidence"/>
    <w:basedOn w:val="Standaard"/>
    <w:next w:val="Standaard"/>
    <w:pPr>
      <w:spacing w:before="360"/>
      <w:jc w:val="center"/>
    </w:pPr>
  </w:style>
  <w:style w:type="paragraph" w:customStyle="1" w:styleId="Confidentialit">
    <w:name w:val="Confidentialité"/>
    <w:basedOn w:val="Standaard"/>
    <w:next w:val="TypedudocumentPagedecouverture"/>
    <w:pPr>
      <w:spacing w:before="240" w:after="240"/>
      <w:ind w:left="5103"/>
      <w:jc w:val="left"/>
    </w:pPr>
    <w:rPr>
      <w:i/>
      <w:sz w:val="32"/>
    </w:rPr>
  </w:style>
  <w:style w:type="paragraph" w:customStyle="1" w:styleId="Considrant">
    <w:name w:val="Considérant"/>
    <w:basedOn w:val="Standaard"/>
    <w:pPr>
      <w:numPr>
        <w:numId w:val="38"/>
      </w:numPr>
    </w:pPr>
  </w:style>
  <w:style w:type="paragraph" w:customStyle="1" w:styleId="Corrigendum">
    <w:name w:val="Corrigendum"/>
    <w:basedOn w:val="Standaard"/>
    <w:next w:val="Standaard"/>
    <w:pPr>
      <w:spacing w:before="0" w:after="240"/>
      <w:jc w:val="left"/>
    </w:pPr>
  </w:style>
  <w:style w:type="paragraph" w:customStyle="1" w:styleId="Datedadoption">
    <w:name w:val="Date d'adoption"/>
    <w:basedOn w:val="Standaard"/>
    <w:next w:val="Titreobjet"/>
    <w:pPr>
      <w:spacing w:before="360" w:after="0"/>
      <w:jc w:val="center"/>
    </w:pPr>
    <w:rPr>
      <w:b/>
    </w:rPr>
  </w:style>
  <w:style w:type="paragraph" w:customStyle="1" w:styleId="Exposdesmotifstitre">
    <w:name w:val="Exposé des motifs titre"/>
    <w:basedOn w:val="Standaard"/>
    <w:next w:val="Standaard"/>
    <w:pPr>
      <w:jc w:val="center"/>
    </w:pPr>
    <w:rPr>
      <w:b/>
      <w:u w:val="single"/>
    </w:rPr>
  </w:style>
  <w:style w:type="paragraph" w:customStyle="1" w:styleId="Fait">
    <w:name w:val="Fait à"/>
    <w:basedOn w:val="Standaard"/>
    <w:next w:val="Institutionquisigne"/>
    <w:pPr>
      <w:keepNext/>
      <w:spacing w:after="0"/>
    </w:pPr>
  </w:style>
  <w:style w:type="paragraph" w:customStyle="1" w:styleId="Formuledadoption">
    <w:name w:val="Formule d'adoption"/>
    <w:basedOn w:val="Standaard"/>
    <w:next w:val="Titrearticle"/>
    <w:pPr>
      <w:keepNext/>
    </w:pPr>
  </w:style>
  <w:style w:type="paragraph" w:customStyle="1" w:styleId="Institutionquiagit">
    <w:name w:val="Institution qui agit"/>
    <w:basedOn w:val="Standaard"/>
    <w:next w:val="Standaard"/>
    <w:pPr>
      <w:keepNext/>
      <w:spacing w:before="600"/>
    </w:pPr>
  </w:style>
  <w:style w:type="paragraph" w:customStyle="1" w:styleId="Institutionquisigne">
    <w:name w:val="Institution qui signe"/>
    <w:basedOn w:val="Standaard"/>
    <w:next w:val="Personnequisigne"/>
    <w:pPr>
      <w:keepNext/>
      <w:tabs>
        <w:tab w:val="left" w:pos="4252"/>
      </w:tabs>
      <w:spacing w:before="720" w:after="0"/>
    </w:pPr>
    <w:rPr>
      <w:i/>
    </w:rPr>
  </w:style>
  <w:style w:type="paragraph" w:customStyle="1" w:styleId="ManualConsidrant">
    <w:name w:val="Manual Considérant"/>
    <w:basedOn w:val="Standaard"/>
    <w:pPr>
      <w:ind w:left="709" w:hanging="709"/>
    </w:pPr>
  </w:style>
  <w:style w:type="paragraph" w:customStyle="1" w:styleId="Personnequisigne">
    <w:name w:val="Personne qui signe"/>
    <w:basedOn w:val="Standaard"/>
    <w:next w:val="Institutionquisigne"/>
    <w:pPr>
      <w:tabs>
        <w:tab w:val="left" w:pos="4252"/>
      </w:tabs>
      <w:spacing w:before="0" w:after="0"/>
      <w:jc w:val="left"/>
    </w:pPr>
    <w:rPr>
      <w:i/>
    </w:rPr>
  </w:style>
  <w:style w:type="paragraph" w:customStyle="1" w:styleId="Rfrenceinterinstitutionnelle">
    <w:name w:val="Référence interinstitutionnelle"/>
    <w:basedOn w:val="Standaard"/>
    <w:next w:val="Statut"/>
    <w:pPr>
      <w:spacing w:before="0" w:after="0"/>
      <w:ind w:left="5103"/>
      <w:jc w:val="left"/>
    </w:pPr>
  </w:style>
  <w:style w:type="paragraph" w:customStyle="1" w:styleId="Rfrenceinterne">
    <w:name w:val="Référence interne"/>
    <w:basedOn w:val="Standaard"/>
    <w:next w:val="Rfrenceinterinstitutionnelle"/>
    <w:pPr>
      <w:spacing w:before="0" w:after="0"/>
      <w:ind w:left="5103"/>
      <w:jc w:val="left"/>
    </w:pPr>
  </w:style>
  <w:style w:type="paragraph" w:customStyle="1" w:styleId="Statut">
    <w:name w:val="Statut"/>
    <w:basedOn w:val="Standaard"/>
    <w:next w:val="Typedudocument"/>
    <w:pPr>
      <w:spacing w:before="360" w:after="0"/>
      <w:jc w:val="center"/>
    </w:pPr>
  </w:style>
  <w:style w:type="paragraph" w:customStyle="1" w:styleId="Titrearticle">
    <w:name w:val="Titre article"/>
    <w:basedOn w:val="Standaard"/>
    <w:next w:val="Standaard"/>
    <w:pPr>
      <w:keepNext/>
      <w:spacing w:before="360"/>
      <w:jc w:val="center"/>
    </w:pPr>
    <w:rPr>
      <w:i/>
    </w:rPr>
  </w:style>
  <w:style w:type="paragraph" w:customStyle="1" w:styleId="Titreobjet">
    <w:name w:val="Titre objet"/>
    <w:basedOn w:val="Standaard"/>
    <w:next w:val="IntrtEEE"/>
    <w:pPr>
      <w:spacing w:before="360" w:after="360"/>
      <w:jc w:val="center"/>
    </w:pPr>
    <w:rPr>
      <w:b/>
    </w:rPr>
  </w:style>
  <w:style w:type="paragraph" w:customStyle="1" w:styleId="Typedudocument">
    <w:name w:val="Type du document"/>
    <w:basedOn w:val="Standaard"/>
    <w:next w:val="Titreobjet"/>
    <w:pPr>
      <w:spacing w:before="360" w:after="0"/>
      <w:jc w:val="center"/>
    </w:pPr>
    <w:rPr>
      <w:b/>
    </w:rPr>
  </w:style>
  <w:style w:type="character" w:customStyle="1" w:styleId="Added">
    <w:name w:val="Added"/>
    <w:basedOn w:val="Standaardalinea-lettertype"/>
    <w:rPr>
      <w:b/>
      <w:u w:val="single"/>
      <w:shd w:val="clear" w:color="auto" w:fill="auto"/>
    </w:rPr>
  </w:style>
  <w:style w:type="character" w:customStyle="1" w:styleId="Deleted">
    <w:name w:val="Deleted"/>
    <w:basedOn w:val="Standaardalinea-lettertype"/>
    <w:rPr>
      <w:strike/>
      <w:dstrike w:val="0"/>
      <w:shd w:val="clear" w:color="auto" w:fill="auto"/>
    </w:rPr>
  </w:style>
  <w:style w:type="paragraph" w:customStyle="1" w:styleId="Address">
    <w:name w:val="Address"/>
    <w:basedOn w:val="Standaard"/>
    <w:next w:val="Standaard"/>
    <w:pPr>
      <w:keepLines/>
      <w:spacing w:line="360" w:lineRule="auto"/>
      <w:ind w:left="3402"/>
      <w:jc w:val="left"/>
    </w:pPr>
  </w:style>
  <w:style w:type="paragraph" w:customStyle="1" w:styleId="Objetexterne">
    <w:name w:val="Objet externe"/>
    <w:basedOn w:val="Standaard"/>
    <w:next w:val="Standaard"/>
    <w:rPr>
      <w:i/>
      <w:caps/>
    </w:rPr>
  </w:style>
  <w:style w:type="paragraph" w:customStyle="1" w:styleId="Supertitre">
    <w:name w:val="Supertitre"/>
    <w:basedOn w:val="Standaard"/>
    <w:next w:val="Standaard"/>
    <w:pPr>
      <w:spacing w:before="0" w:after="600"/>
      <w:jc w:val="center"/>
    </w:pPr>
    <w:rPr>
      <w:b/>
    </w:rPr>
  </w:style>
  <w:style w:type="paragraph" w:customStyle="1" w:styleId="Languesfaisantfoi">
    <w:name w:val="Langues faisant foi"/>
    <w:basedOn w:val="Standaard"/>
    <w:next w:val="Standaard"/>
    <w:pPr>
      <w:spacing w:before="360" w:after="0"/>
      <w:jc w:val="center"/>
    </w:pPr>
  </w:style>
  <w:style w:type="paragraph" w:customStyle="1" w:styleId="Rfrencecroise">
    <w:name w:val="Référence croisée"/>
    <w:basedOn w:val="Standaard"/>
    <w:pPr>
      <w:spacing w:before="0" w:after="0"/>
      <w:jc w:val="center"/>
    </w:pPr>
  </w:style>
  <w:style w:type="paragraph" w:customStyle="1" w:styleId="Fichefinanciretitre">
    <w:name w:val="Fiche financière titre"/>
    <w:basedOn w:val="Standaard"/>
    <w:next w:val="Standaard"/>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Standaard"/>
    <w:next w:val="Confidentialit"/>
    <w:pPr>
      <w:spacing w:before="0" w:after="240"/>
      <w:ind w:left="5103"/>
      <w:jc w:val="left"/>
    </w:pPr>
  </w:style>
  <w:style w:type="paragraph" w:customStyle="1" w:styleId="IntrtEEE">
    <w:name w:val="Intérêt EEE"/>
    <w:basedOn w:val="Languesfaisantfoi"/>
    <w:next w:val="Standaard"/>
    <w:pPr>
      <w:spacing w:after="240"/>
    </w:pPr>
  </w:style>
  <w:style w:type="paragraph" w:customStyle="1" w:styleId="Accompagnant">
    <w:name w:val="Accompagnant"/>
    <w:basedOn w:val="Standaard"/>
    <w:next w:val="Typeacteprincipal"/>
    <w:pPr>
      <w:spacing w:before="0" w:after="240"/>
      <w:jc w:val="center"/>
    </w:pPr>
    <w:rPr>
      <w:b/>
      <w:i/>
    </w:rPr>
  </w:style>
  <w:style w:type="paragraph" w:customStyle="1" w:styleId="Typeacteprincipal">
    <w:name w:val="Type acte principal"/>
    <w:basedOn w:val="Standaard"/>
    <w:next w:val="Objetacteprincipal"/>
    <w:pPr>
      <w:spacing w:before="0" w:after="240"/>
      <w:jc w:val="center"/>
    </w:pPr>
    <w:rPr>
      <w:b/>
    </w:rPr>
  </w:style>
  <w:style w:type="paragraph" w:customStyle="1" w:styleId="Objetacteprincipal">
    <w:name w:val="Objet acte principal"/>
    <w:basedOn w:val="Standaar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Standaard"/>
    <w:next w:val="Standaard"/>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6680">
      <w:bodyDiv w:val="1"/>
      <w:marLeft w:val="0"/>
      <w:marRight w:val="0"/>
      <w:marTop w:val="0"/>
      <w:marBottom w:val="0"/>
      <w:divBdr>
        <w:top w:val="none" w:sz="0" w:space="0" w:color="auto"/>
        <w:left w:val="none" w:sz="0" w:space="0" w:color="auto"/>
        <w:bottom w:val="none" w:sz="0" w:space="0" w:color="auto"/>
        <w:right w:val="none" w:sz="0" w:space="0" w:color="auto"/>
      </w:divBdr>
    </w:div>
    <w:div w:id="55321619">
      <w:bodyDiv w:val="1"/>
      <w:marLeft w:val="0"/>
      <w:marRight w:val="0"/>
      <w:marTop w:val="0"/>
      <w:marBottom w:val="0"/>
      <w:divBdr>
        <w:top w:val="none" w:sz="0" w:space="0" w:color="auto"/>
        <w:left w:val="none" w:sz="0" w:space="0" w:color="auto"/>
        <w:bottom w:val="none" w:sz="0" w:space="0" w:color="auto"/>
        <w:right w:val="none" w:sz="0" w:space="0" w:color="auto"/>
      </w:divBdr>
    </w:div>
    <w:div w:id="709258672">
      <w:bodyDiv w:val="1"/>
      <w:marLeft w:val="0"/>
      <w:marRight w:val="0"/>
      <w:marTop w:val="0"/>
      <w:marBottom w:val="0"/>
      <w:divBdr>
        <w:top w:val="none" w:sz="0" w:space="0" w:color="auto"/>
        <w:left w:val="none" w:sz="0" w:space="0" w:color="auto"/>
        <w:bottom w:val="none" w:sz="0" w:space="0" w:color="auto"/>
        <w:right w:val="none" w:sz="0" w:space="0" w:color="auto"/>
      </w:divBdr>
    </w:div>
    <w:div w:id="1140195707">
      <w:bodyDiv w:val="1"/>
      <w:marLeft w:val="0"/>
      <w:marRight w:val="0"/>
      <w:marTop w:val="0"/>
      <w:marBottom w:val="0"/>
      <w:divBdr>
        <w:top w:val="none" w:sz="0" w:space="0" w:color="auto"/>
        <w:left w:val="none" w:sz="0" w:space="0" w:color="auto"/>
        <w:bottom w:val="none" w:sz="0" w:space="0" w:color="auto"/>
        <w:right w:val="none" w:sz="0" w:space="0" w:color="auto"/>
      </w:divBdr>
    </w:div>
    <w:div w:id="1604529415">
      <w:bodyDiv w:val="1"/>
      <w:marLeft w:val="0"/>
      <w:marRight w:val="0"/>
      <w:marTop w:val="0"/>
      <w:marBottom w:val="0"/>
      <w:divBdr>
        <w:top w:val="none" w:sz="0" w:space="0" w:color="auto"/>
        <w:left w:val="none" w:sz="0" w:space="0" w:color="auto"/>
        <w:bottom w:val="none" w:sz="0" w:space="0" w:color="auto"/>
        <w:right w:val="none" w:sz="0" w:space="0" w:color="auto"/>
      </w:divBdr>
    </w:div>
    <w:div w:id="1813987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co/2003/361/oj" TargetMode="External"/><Relationship Id="rId3" Type="http://schemas.openxmlformats.org/officeDocument/2006/relationships/hyperlink" Target="http://data.europa.eu/eli/reg/2018/213/oj" TargetMode="External"/><Relationship Id="rId7" Type="http://schemas.openxmlformats.org/officeDocument/2006/relationships/hyperlink" Target="http://data.europa.eu/eli/reg_del/2023/707/oj" TargetMode="External"/><Relationship Id="rId2" Type="http://schemas.openxmlformats.org/officeDocument/2006/relationships/hyperlink" Target="http://data.europa.eu/eli/reg/2011/10/oj" TargetMode="External"/><Relationship Id="rId1" Type="http://schemas.openxmlformats.org/officeDocument/2006/relationships/hyperlink" Target="http://data.europa.eu/eli/reg/2004/1935/oj" TargetMode="External"/><Relationship Id="rId6" Type="http://schemas.openxmlformats.org/officeDocument/2006/relationships/hyperlink" Target="http://data.europa.eu/eli/reg/2006/1907/oj" TargetMode="External"/><Relationship Id="rId11" Type="http://schemas.openxmlformats.org/officeDocument/2006/relationships/hyperlink" Target="http://data.europa.eu/eli/reg/2004/853/oj" TargetMode="External"/><Relationship Id="rId5" Type="http://schemas.openxmlformats.org/officeDocument/2006/relationships/hyperlink" Target="http://data.europa.eu/eli/reg/2008/1272/oj" TargetMode="External"/><Relationship Id="rId10" Type="http://schemas.openxmlformats.org/officeDocument/2006/relationships/hyperlink" Target="http://data.europa.eu/eli/dir/2001/112/oj" TargetMode="External"/><Relationship Id="rId4" Type="http://schemas.openxmlformats.org/officeDocument/2006/relationships/hyperlink" Target="http://data.europa.eu/eli/reg_impl/2011/321/oj" TargetMode="External"/><Relationship Id="rId9" Type="http://schemas.openxmlformats.org/officeDocument/2006/relationships/hyperlink" Target="http://data.europa.eu/eli/reg/2017/625/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75E3F-ACE0-41DF-8F52-ED4E9CC9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16</Pages>
  <Words>6672</Words>
  <Characters>36698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BRIGGS Jonathan (SANTE)</dc:creator>
  <cp:keywords/>
  <dc:description/>
  <cp:lastModifiedBy>Jan Cardon</cp:lastModifiedBy>
  <cp:revision>2</cp:revision>
  <cp:lastPrinted>2024-06-07T17:12:00Z</cp:lastPrinted>
  <dcterms:created xsi:type="dcterms:W3CDTF">2024-06-15T19:36:00Z</dcterms:created>
  <dcterms:modified xsi:type="dcterms:W3CDTF">2024-06-15T19:36:00Z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2023-09-06T13:00:59Z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565769ef-9332-48c3-8b6d-d23cc3a6360d</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SJ-001</vt:lpwstr>
  </property>
  <property fmtid="{D5CDD505-2E9C-101B-9397-08002B2CF9AE}" pid="17" name="DQCStatus">
    <vt:lpwstr>Green (DQC version 03)</vt:lpwstr>
  </property>
</Properties>
</file>